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0A8F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E0B3CC9" w14:textId="77777777" w:rsidTr="005F7F7E">
        <w:tc>
          <w:tcPr>
            <w:tcW w:w="2438" w:type="dxa"/>
            <w:shd w:val="clear" w:color="auto" w:fill="auto"/>
          </w:tcPr>
          <w:p w14:paraId="630F090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52D9868A" w14:textId="77777777" w:rsidR="00F445B1" w:rsidRPr="00F95BC9" w:rsidRDefault="00DE2F62" w:rsidP="00DE343D">
            <w:pPr>
              <w:rPr>
                <w:rStyle w:val="Firstpagetablebold"/>
              </w:rPr>
            </w:pPr>
            <w:r>
              <w:rPr>
                <w:rStyle w:val="Firstpagetablebold"/>
              </w:rPr>
              <w:t>Audit &amp; Governance Committee</w:t>
            </w:r>
          </w:p>
        </w:tc>
      </w:tr>
      <w:tr w:rsidR="00CE544A" w:rsidRPr="00975B07" w14:paraId="62EE33C9" w14:textId="77777777" w:rsidTr="005F7F7E">
        <w:tc>
          <w:tcPr>
            <w:tcW w:w="2438" w:type="dxa"/>
            <w:shd w:val="clear" w:color="auto" w:fill="auto"/>
          </w:tcPr>
          <w:p w14:paraId="1027F75D"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8496680" w14:textId="1209BD34" w:rsidR="00F445B1" w:rsidRPr="001356F1" w:rsidRDefault="00DE2F62" w:rsidP="00507761">
            <w:pPr>
              <w:rPr>
                <w:b/>
              </w:rPr>
            </w:pPr>
            <w:r>
              <w:rPr>
                <w:b/>
              </w:rPr>
              <w:t>28 September 2016</w:t>
            </w:r>
          </w:p>
        </w:tc>
      </w:tr>
      <w:tr w:rsidR="00CE544A" w:rsidRPr="00975B07" w14:paraId="5423C2FC" w14:textId="77777777" w:rsidTr="005F7F7E">
        <w:tc>
          <w:tcPr>
            <w:tcW w:w="2438" w:type="dxa"/>
            <w:shd w:val="clear" w:color="auto" w:fill="auto"/>
          </w:tcPr>
          <w:p w14:paraId="6745867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143E136" w14:textId="77777777" w:rsidR="00F445B1" w:rsidRPr="001356F1" w:rsidRDefault="00DE2F62" w:rsidP="004A6D2F">
            <w:pPr>
              <w:rPr>
                <w:rStyle w:val="Firstpagetablebold"/>
              </w:rPr>
            </w:pPr>
            <w:r>
              <w:rPr>
                <w:rStyle w:val="Firstpagetablebold"/>
              </w:rPr>
              <w:t>Helen Bishop, Head of Business Improvement</w:t>
            </w:r>
          </w:p>
        </w:tc>
      </w:tr>
      <w:tr w:rsidR="00CE544A" w:rsidRPr="00975B07" w14:paraId="178E4D56" w14:textId="77777777" w:rsidTr="005F7F7E">
        <w:tc>
          <w:tcPr>
            <w:tcW w:w="2438" w:type="dxa"/>
            <w:shd w:val="clear" w:color="auto" w:fill="auto"/>
          </w:tcPr>
          <w:p w14:paraId="7AFC2CD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37501DA6" w14:textId="77777777" w:rsidR="00F445B1" w:rsidRPr="001356F1" w:rsidRDefault="00DE2F62" w:rsidP="00DE343D">
            <w:pPr>
              <w:rPr>
                <w:rStyle w:val="Firstpagetablebold"/>
              </w:rPr>
            </w:pPr>
            <w:r>
              <w:rPr>
                <w:rStyle w:val="Firstpagetablebold"/>
              </w:rPr>
              <w:t>ICT Transition to SCC: Lessons Learnt</w:t>
            </w:r>
            <w:r w:rsidR="00F445B1" w:rsidRPr="001356F1">
              <w:rPr>
                <w:rStyle w:val="Firstpagetablebold"/>
              </w:rPr>
              <w:t xml:space="preserve"> </w:t>
            </w:r>
          </w:p>
        </w:tc>
      </w:tr>
    </w:tbl>
    <w:p w14:paraId="4939A286"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44730EE6" w14:textId="77777777" w:rsidTr="0080749A">
        <w:tc>
          <w:tcPr>
            <w:tcW w:w="8845" w:type="dxa"/>
            <w:gridSpan w:val="2"/>
            <w:tcBorders>
              <w:bottom w:val="single" w:sz="8" w:space="0" w:color="000000"/>
            </w:tcBorders>
            <w:hideMark/>
          </w:tcPr>
          <w:p w14:paraId="431CD70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F27F7FD" w14:textId="77777777" w:rsidTr="0080749A">
        <w:tc>
          <w:tcPr>
            <w:tcW w:w="2438" w:type="dxa"/>
            <w:tcBorders>
              <w:top w:val="single" w:sz="8" w:space="0" w:color="000000"/>
              <w:left w:val="single" w:sz="8" w:space="0" w:color="000000"/>
              <w:bottom w:val="nil"/>
              <w:right w:val="nil"/>
            </w:tcBorders>
            <w:hideMark/>
          </w:tcPr>
          <w:p w14:paraId="0D0F6D1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4A5E9E02" w14:textId="77777777" w:rsidR="00BE5253" w:rsidRDefault="000A74DD" w:rsidP="00507761">
            <w:r>
              <w:t>To detail the lessons learnt from the ICT transition to the new service provider, SCC, on expiration of the contract with Oxfordshire County Council.</w:t>
            </w:r>
          </w:p>
          <w:p w14:paraId="5084BBDD" w14:textId="59667335" w:rsidR="00507761" w:rsidRPr="001356F1" w:rsidRDefault="00507761" w:rsidP="00507761"/>
        </w:tc>
      </w:tr>
      <w:tr w:rsidR="005F7F7E" w:rsidRPr="00975B07" w14:paraId="33F83CD9" w14:textId="77777777" w:rsidTr="00C535E3">
        <w:trPr>
          <w:trHeight w:val="413"/>
        </w:trPr>
        <w:tc>
          <w:tcPr>
            <w:tcW w:w="8845" w:type="dxa"/>
            <w:gridSpan w:val="2"/>
          </w:tcPr>
          <w:p w14:paraId="0B614B34" w14:textId="77777777" w:rsidR="00BE5253" w:rsidRDefault="005F7F7E" w:rsidP="00C535E3">
            <w:pPr>
              <w:rPr>
                <w:rStyle w:val="Firstpagetablebold"/>
                <w:b w:val="0"/>
              </w:rPr>
            </w:pPr>
            <w:r>
              <w:rPr>
                <w:rStyle w:val="Firstpagetablebold"/>
              </w:rPr>
              <w:t>Recommendation(s):</w:t>
            </w:r>
            <w:r w:rsidR="009041A5">
              <w:rPr>
                <w:rStyle w:val="Firstpagetablebold"/>
              </w:rPr>
              <w:t xml:space="preserve"> </w:t>
            </w:r>
            <w:r w:rsidRPr="009041A5">
              <w:rPr>
                <w:rStyle w:val="Firstpagetablebold"/>
                <w:b w:val="0"/>
              </w:rPr>
              <w:t xml:space="preserve">That the </w:t>
            </w:r>
            <w:r w:rsidR="00590882" w:rsidRPr="009041A5">
              <w:rPr>
                <w:rStyle w:val="Firstpagetablebold"/>
                <w:b w:val="0"/>
              </w:rPr>
              <w:t>Audit &amp; Governance Committee</w:t>
            </w:r>
            <w:r w:rsidRPr="009041A5">
              <w:rPr>
                <w:rStyle w:val="Firstpagetablebold"/>
                <w:b w:val="0"/>
              </w:rPr>
              <w:t xml:space="preserve"> </w:t>
            </w:r>
            <w:r w:rsidR="009041A5" w:rsidRPr="009041A5">
              <w:rPr>
                <w:rStyle w:val="Firstpagetablebold"/>
                <w:b w:val="0"/>
              </w:rPr>
              <w:t>notes the report</w:t>
            </w:r>
            <w:r w:rsidR="00BE5253">
              <w:rPr>
                <w:rStyle w:val="Firstpagetablebold"/>
                <w:b w:val="0"/>
              </w:rPr>
              <w:t>.</w:t>
            </w:r>
            <w:r w:rsidR="009041A5" w:rsidRPr="009041A5">
              <w:rPr>
                <w:rStyle w:val="Firstpagetablebold"/>
                <w:b w:val="0"/>
              </w:rPr>
              <w:t xml:space="preserve"> </w:t>
            </w:r>
          </w:p>
          <w:p w14:paraId="2E8EB666" w14:textId="77777777" w:rsidR="005F7F7E" w:rsidRPr="00975B07" w:rsidRDefault="00C535E3" w:rsidP="00C535E3">
            <w:r>
              <w:rPr>
                <w:rStyle w:val="Firstpagetablebold"/>
                <w:b w:val="0"/>
              </w:rPr>
              <w:t xml:space="preserve">               </w:t>
            </w:r>
          </w:p>
        </w:tc>
      </w:tr>
    </w:tbl>
    <w:p w14:paraId="554329D9"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35F7D1F"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CA93B95" w14:textId="77777777" w:rsidR="00966D42" w:rsidRPr="00975B07" w:rsidRDefault="00966D42" w:rsidP="00263EA3">
            <w:pPr>
              <w:jc w:val="center"/>
            </w:pPr>
            <w:r w:rsidRPr="00745BF0">
              <w:rPr>
                <w:rStyle w:val="Firstpagetablebold"/>
              </w:rPr>
              <w:t>Appendices</w:t>
            </w:r>
          </w:p>
        </w:tc>
      </w:tr>
      <w:tr w:rsidR="00ED5860" w:rsidRPr="00975B07" w14:paraId="3063E645" w14:textId="77777777" w:rsidTr="00A46E98">
        <w:tc>
          <w:tcPr>
            <w:tcW w:w="2438" w:type="dxa"/>
            <w:tcBorders>
              <w:top w:val="single" w:sz="8" w:space="0" w:color="000000"/>
              <w:left w:val="single" w:sz="8" w:space="0" w:color="000000"/>
              <w:bottom w:val="nil"/>
              <w:right w:val="nil"/>
            </w:tcBorders>
            <w:shd w:val="clear" w:color="auto" w:fill="auto"/>
          </w:tcPr>
          <w:p w14:paraId="114FFEBB"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4EC1810" w14:textId="77777777" w:rsidR="00ED5860" w:rsidRPr="001356F1" w:rsidRDefault="003A22B4" w:rsidP="004A6D2F">
            <w:r>
              <w:t>ICT Improvement Plan</w:t>
            </w:r>
          </w:p>
        </w:tc>
      </w:tr>
    </w:tbl>
    <w:p w14:paraId="0385B159" w14:textId="77777777" w:rsidR="00BE5253" w:rsidRDefault="00BE5253" w:rsidP="004A6D2F">
      <w:pPr>
        <w:pStyle w:val="Heading1"/>
      </w:pPr>
    </w:p>
    <w:p w14:paraId="3AF1535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5717DAD2" w14:textId="77777777" w:rsidR="003A22B4" w:rsidRDefault="003A22B4" w:rsidP="003A22B4">
      <w:pPr>
        <w:pStyle w:val="ListParagraph"/>
      </w:pPr>
      <w:r>
        <w:t xml:space="preserve">In July 2015, CEB approved the award of a contract for the provision of IT services to SCC on the expiration of its contract with the County Council (31st March 2016).  At the same time, it was agreed to move the ICT service desk function that was previously provided by the County Council in-house. The basis for those decisions is set out in the CEB report. </w:t>
      </w:r>
    </w:p>
    <w:p w14:paraId="4932816E" w14:textId="77777777" w:rsidR="003A22B4" w:rsidRDefault="003A22B4" w:rsidP="003A22B4">
      <w:pPr>
        <w:pStyle w:val="ListParagraph"/>
      </w:pPr>
      <w:r>
        <w:t>A significant implementation plan facilitated 57 software applications and over 20 million files being successfully moved across from the County Council’s systems to our new ICT platform Sentinel, managed by SCC, by 1st April 2016. One of the benefits of the new infrastructure platform is that it provides the highest level of government accreditation for security.  However, coupled with moving so many files this created significant access issues for some users post the go-live date. These were highlighted in a briefing note to Audit &amp; Governance Committee on 29th June 2016.</w:t>
      </w:r>
    </w:p>
    <w:p w14:paraId="319C3C51" w14:textId="77777777" w:rsidR="003A22B4" w:rsidRDefault="003A22B4" w:rsidP="003A22B4">
      <w:pPr>
        <w:pStyle w:val="ListParagraph"/>
      </w:pPr>
      <w:r>
        <w:t xml:space="preserve">At its June meeting the Audit &amp; Governance Committee requested that a report be presented to its September meeting detailing the lessons learnt from the ICT transition and indicating how the problems experienced would be </w:t>
      </w:r>
      <w:r w:rsidR="000406C1">
        <w:t>mitigated</w:t>
      </w:r>
      <w:r>
        <w:t xml:space="preserve"> in the future. Th</w:t>
      </w:r>
      <w:r w:rsidR="00384EF0">
        <w:t>is</w:t>
      </w:r>
      <w:r>
        <w:t xml:space="preserve"> report addresses the following points:</w:t>
      </w:r>
    </w:p>
    <w:p w14:paraId="51C2C3B8" w14:textId="77777777" w:rsidR="003A22B4" w:rsidRDefault="003A22B4" w:rsidP="0086277C">
      <w:pPr>
        <w:pStyle w:val="ListParagraph"/>
        <w:numPr>
          <w:ilvl w:val="0"/>
          <w:numId w:val="35"/>
        </w:numPr>
      </w:pPr>
      <w:r>
        <w:lastRenderedPageBreak/>
        <w:t>Costs of the transition of the ICT services against anticipated savings from the new contract</w:t>
      </w:r>
    </w:p>
    <w:p w14:paraId="37DB50F2" w14:textId="77777777" w:rsidR="003A22B4" w:rsidRDefault="003A22B4" w:rsidP="0086277C">
      <w:pPr>
        <w:pStyle w:val="ListParagraph"/>
        <w:numPr>
          <w:ilvl w:val="0"/>
          <w:numId w:val="36"/>
        </w:numPr>
      </w:pPr>
      <w:r>
        <w:t>Lessons learnt</w:t>
      </w:r>
    </w:p>
    <w:p w14:paraId="73BD2B5A" w14:textId="77777777" w:rsidR="003A22B4" w:rsidRDefault="003A22B4" w:rsidP="0086277C">
      <w:pPr>
        <w:pStyle w:val="ListParagraph"/>
        <w:numPr>
          <w:ilvl w:val="0"/>
          <w:numId w:val="36"/>
        </w:numPr>
      </w:pPr>
      <w:r>
        <w:t>Reputational risk from the loss of public facing services</w:t>
      </w:r>
    </w:p>
    <w:p w14:paraId="3B351AED" w14:textId="77777777" w:rsidR="003A22B4" w:rsidRDefault="003A22B4" w:rsidP="0086277C">
      <w:pPr>
        <w:pStyle w:val="ListParagraph"/>
        <w:numPr>
          <w:ilvl w:val="0"/>
          <w:numId w:val="36"/>
        </w:numPr>
      </w:pPr>
      <w:r>
        <w:t>Relationship management</w:t>
      </w:r>
    </w:p>
    <w:p w14:paraId="7F56BA0E" w14:textId="77777777" w:rsidR="003A22B4" w:rsidRDefault="003A22B4" w:rsidP="0086277C">
      <w:pPr>
        <w:pStyle w:val="ListParagraph"/>
        <w:numPr>
          <w:ilvl w:val="0"/>
          <w:numId w:val="36"/>
        </w:numPr>
      </w:pPr>
      <w:r>
        <w:t>Consequences of service failure impacting on councillors’ performance</w:t>
      </w:r>
    </w:p>
    <w:p w14:paraId="3D2CA19F" w14:textId="77777777" w:rsidR="003A22B4" w:rsidRDefault="003A22B4" w:rsidP="003A22B4">
      <w:pPr>
        <w:pStyle w:val="ListParagraph"/>
      </w:pPr>
      <w:r>
        <w:t xml:space="preserve">A number of Lessons Learnt sessions have been held with key members of the </w:t>
      </w:r>
      <w:r w:rsidR="000406C1">
        <w:t xml:space="preserve">ICT </w:t>
      </w:r>
      <w:r>
        <w:t>Transition Project Team and a separate Lessons Learnt session was held with SCC. The actions arising, together with the recommendations from the recent S</w:t>
      </w:r>
      <w:r w:rsidR="000406C1">
        <w:t xml:space="preserve">ociety </w:t>
      </w:r>
      <w:r w:rsidR="00560B29">
        <w:t>o</w:t>
      </w:r>
      <w:r w:rsidR="000406C1">
        <w:t xml:space="preserve">f </w:t>
      </w:r>
      <w:r>
        <w:t>IT</w:t>
      </w:r>
      <w:r w:rsidR="000406C1">
        <w:t xml:space="preserve"> </w:t>
      </w:r>
      <w:r>
        <w:t>M</w:t>
      </w:r>
      <w:r w:rsidR="000406C1">
        <w:t>anagement (SOCITM)</w:t>
      </w:r>
      <w:r>
        <w:t xml:space="preserve"> review and internal audit report on the ICT Service Desk have been incorporated into an ICT Operations Improvement Plan (summarised at Appendix A) that will move the ICT service to delivery of a customer-focused, best practice operation by March 2017.</w:t>
      </w:r>
    </w:p>
    <w:p w14:paraId="74413862" w14:textId="77777777" w:rsidR="0086277C" w:rsidRDefault="0086277C" w:rsidP="0086277C"/>
    <w:p w14:paraId="051D0FD3" w14:textId="77777777" w:rsidR="0086277C" w:rsidRPr="004A0A55" w:rsidRDefault="0086277C" w:rsidP="0086277C">
      <w:pPr>
        <w:pStyle w:val="ListParagraph"/>
        <w:rPr>
          <w:b/>
        </w:rPr>
      </w:pPr>
      <w:r w:rsidRPr="004A0A55">
        <w:rPr>
          <w:b/>
        </w:rPr>
        <w:t xml:space="preserve">Costs of Transition and Anticipated Savings </w:t>
      </w:r>
    </w:p>
    <w:p w14:paraId="46F4CDD2" w14:textId="77777777" w:rsidR="0086277C" w:rsidRPr="0086277C" w:rsidRDefault="0086277C" w:rsidP="0086277C">
      <w:pPr>
        <w:spacing w:after="0"/>
        <w:jc w:val="both"/>
        <w:rPr>
          <w:color w:val="0070C0"/>
        </w:rPr>
      </w:pPr>
    </w:p>
    <w:p w14:paraId="3888C5A9" w14:textId="77777777" w:rsidR="0086277C" w:rsidRPr="0086277C" w:rsidRDefault="0086277C" w:rsidP="0086277C">
      <w:pPr>
        <w:spacing w:after="160" w:line="259" w:lineRule="auto"/>
        <w:rPr>
          <w:rFonts w:eastAsia="Calibri" w:cs="Arial"/>
          <w:color w:val="auto"/>
          <w:lang w:eastAsia="en-US"/>
        </w:rPr>
      </w:pPr>
      <w:r w:rsidRPr="0086277C">
        <w:rPr>
          <w:rFonts w:eastAsia="Calibri" w:cs="Arial"/>
          <w:color w:val="auto"/>
          <w:lang w:eastAsia="en-US"/>
        </w:rPr>
        <w:t>The cost of the ICT service provided by the County Council in 2015/16 was £1,129K.  The City’s Medium Term Financial Plan identified a saving in IT infrastructure of £150K p</w:t>
      </w:r>
      <w:r w:rsidR="00384EF0">
        <w:rPr>
          <w:rFonts w:eastAsia="Calibri" w:cs="Arial"/>
          <w:color w:val="auto"/>
          <w:lang w:eastAsia="en-US"/>
        </w:rPr>
        <w:t xml:space="preserve">er </w:t>
      </w:r>
      <w:r w:rsidRPr="0086277C">
        <w:rPr>
          <w:rFonts w:eastAsia="Calibri" w:cs="Arial"/>
          <w:color w:val="auto"/>
          <w:lang w:eastAsia="en-US"/>
        </w:rPr>
        <w:t>a</w:t>
      </w:r>
      <w:r w:rsidR="00384EF0">
        <w:rPr>
          <w:rFonts w:eastAsia="Calibri" w:cs="Arial"/>
          <w:color w:val="auto"/>
          <w:lang w:eastAsia="en-US"/>
        </w:rPr>
        <w:t>nnum</w:t>
      </w:r>
      <w:r w:rsidRPr="0086277C">
        <w:rPr>
          <w:rFonts w:eastAsia="Calibri" w:cs="Arial"/>
          <w:color w:val="auto"/>
          <w:lang w:eastAsia="en-US"/>
        </w:rPr>
        <w:t xml:space="preserve"> </w:t>
      </w:r>
      <w:r w:rsidR="00384EF0">
        <w:rPr>
          <w:rFonts w:eastAsia="Calibri" w:cs="Arial"/>
          <w:color w:val="auto"/>
          <w:lang w:eastAsia="en-US"/>
        </w:rPr>
        <w:t xml:space="preserve">from 2016/17 </w:t>
      </w:r>
      <w:r w:rsidRPr="0086277C">
        <w:rPr>
          <w:rFonts w:eastAsia="Calibri" w:cs="Arial"/>
          <w:color w:val="auto"/>
          <w:lang w:eastAsia="en-US"/>
        </w:rPr>
        <w:t xml:space="preserve">so the budget for the replacement services was </w:t>
      </w:r>
      <w:r w:rsidR="00384EF0">
        <w:rPr>
          <w:rFonts w:eastAsia="Calibri" w:cs="Arial"/>
          <w:color w:val="auto"/>
          <w:lang w:eastAsia="en-US"/>
        </w:rPr>
        <w:t xml:space="preserve">set at </w:t>
      </w:r>
      <w:r w:rsidRPr="0086277C">
        <w:rPr>
          <w:rFonts w:eastAsia="Calibri" w:cs="Arial"/>
          <w:color w:val="auto"/>
          <w:lang w:eastAsia="en-US"/>
        </w:rPr>
        <w:t xml:space="preserve">£979K.  </w:t>
      </w:r>
    </w:p>
    <w:p w14:paraId="7213AC19" w14:textId="6D345EA0" w:rsidR="0086277C" w:rsidRDefault="0086277C" w:rsidP="0086277C">
      <w:pPr>
        <w:spacing w:after="160" w:line="259" w:lineRule="auto"/>
        <w:rPr>
          <w:rFonts w:eastAsia="Calibri" w:cs="Arial"/>
          <w:color w:val="auto"/>
          <w:lang w:eastAsia="en-US"/>
        </w:rPr>
      </w:pPr>
      <w:r w:rsidRPr="0086277C">
        <w:rPr>
          <w:rFonts w:eastAsia="Calibri" w:cs="Arial"/>
          <w:color w:val="auto"/>
          <w:lang w:eastAsia="en-US"/>
        </w:rPr>
        <w:t>Prior to starting the procurement there were several discussions with County Council about different options</w:t>
      </w:r>
      <w:r w:rsidR="00384EF0">
        <w:rPr>
          <w:rFonts w:eastAsia="Calibri" w:cs="Arial"/>
          <w:color w:val="auto"/>
          <w:lang w:eastAsia="en-US"/>
        </w:rPr>
        <w:t xml:space="preserve"> including remaining with the County </w:t>
      </w:r>
      <w:proofErr w:type="gramStart"/>
      <w:r w:rsidR="00384EF0">
        <w:rPr>
          <w:rFonts w:eastAsia="Calibri" w:cs="Arial"/>
          <w:color w:val="auto"/>
          <w:lang w:eastAsia="en-US"/>
        </w:rPr>
        <w:t>Council</w:t>
      </w:r>
      <w:r w:rsidRPr="0086277C">
        <w:rPr>
          <w:rFonts w:eastAsia="Calibri" w:cs="Arial"/>
          <w:color w:val="auto"/>
          <w:lang w:eastAsia="en-US"/>
        </w:rPr>
        <w:t>.</w:t>
      </w:r>
      <w:proofErr w:type="gramEnd"/>
      <w:r w:rsidRPr="0086277C">
        <w:rPr>
          <w:rFonts w:eastAsia="Calibri" w:cs="Arial"/>
          <w:color w:val="auto"/>
          <w:lang w:eastAsia="en-US"/>
        </w:rPr>
        <w:t> Ultimately however, the</w:t>
      </w:r>
      <w:r w:rsidR="00384EF0">
        <w:rPr>
          <w:rFonts w:eastAsia="Calibri" w:cs="Arial"/>
          <w:color w:val="auto"/>
          <w:lang w:eastAsia="en-US"/>
        </w:rPr>
        <w:t xml:space="preserve"> County Council</w:t>
      </w:r>
      <w:r w:rsidRPr="0086277C">
        <w:rPr>
          <w:rFonts w:eastAsia="Calibri" w:cs="Arial"/>
          <w:color w:val="auto"/>
          <w:lang w:eastAsia="en-US"/>
        </w:rPr>
        <w:t xml:space="preserve"> advised they were not in a position to continue to provide a service to the City because they were moving towards becoming a </w:t>
      </w:r>
      <w:r w:rsidR="000406C1">
        <w:rPr>
          <w:rFonts w:eastAsia="Calibri" w:cs="Arial"/>
          <w:color w:val="auto"/>
          <w:lang w:eastAsia="en-US"/>
        </w:rPr>
        <w:t>commissioner</w:t>
      </w:r>
      <w:r w:rsidR="006D289B">
        <w:rPr>
          <w:rFonts w:eastAsia="Calibri" w:cs="Arial"/>
          <w:color w:val="auto"/>
          <w:lang w:eastAsia="en-US"/>
        </w:rPr>
        <w:t>,</w:t>
      </w:r>
      <w:r w:rsidR="000406C1">
        <w:rPr>
          <w:rFonts w:eastAsia="Calibri" w:cs="Arial"/>
          <w:color w:val="auto"/>
          <w:lang w:eastAsia="en-US"/>
        </w:rPr>
        <w:t xml:space="preserve"> </w:t>
      </w:r>
      <w:r w:rsidRPr="0086277C">
        <w:rPr>
          <w:rFonts w:eastAsia="Calibri" w:cs="Arial"/>
          <w:color w:val="auto"/>
          <w:lang w:eastAsia="en-US"/>
        </w:rPr>
        <w:t xml:space="preserve">rather than </w:t>
      </w:r>
      <w:r w:rsidR="006D289B">
        <w:rPr>
          <w:rFonts w:eastAsia="Calibri" w:cs="Arial"/>
          <w:color w:val="auto"/>
          <w:lang w:eastAsia="en-US"/>
        </w:rPr>
        <w:t xml:space="preserve">a </w:t>
      </w:r>
      <w:r w:rsidRPr="0086277C">
        <w:rPr>
          <w:rFonts w:eastAsia="Calibri" w:cs="Arial"/>
          <w:color w:val="auto"/>
          <w:lang w:eastAsia="en-US"/>
        </w:rPr>
        <w:t>provider of services.  They did advise that their view was that if they were able to offer a new service the annual charge would need to be in the order of £1.4M to £1.5M p</w:t>
      </w:r>
      <w:r w:rsidR="006D289B">
        <w:rPr>
          <w:rFonts w:eastAsia="Calibri" w:cs="Arial"/>
          <w:color w:val="auto"/>
          <w:lang w:eastAsia="en-US"/>
        </w:rPr>
        <w:t xml:space="preserve">er </w:t>
      </w:r>
      <w:r w:rsidRPr="0086277C">
        <w:rPr>
          <w:rFonts w:eastAsia="Calibri" w:cs="Arial"/>
          <w:color w:val="auto"/>
          <w:lang w:eastAsia="en-US"/>
        </w:rPr>
        <w:t>a</w:t>
      </w:r>
      <w:r w:rsidR="006D289B">
        <w:rPr>
          <w:rFonts w:eastAsia="Calibri" w:cs="Arial"/>
          <w:color w:val="auto"/>
          <w:lang w:eastAsia="en-US"/>
        </w:rPr>
        <w:t>nnum,</w:t>
      </w:r>
      <w:r w:rsidR="009E589D">
        <w:rPr>
          <w:rFonts w:eastAsia="Calibri" w:cs="Arial"/>
          <w:color w:val="auto"/>
          <w:lang w:eastAsia="en-US"/>
        </w:rPr>
        <w:t xml:space="preserve"> significantly more than the </w:t>
      </w:r>
      <w:r w:rsidR="006D289B">
        <w:rPr>
          <w:rFonts w:eastAsia="Calibri" w:cs="Arial"/>
          <w:color w:val="auto"/>
          <w:lang w:eastAsia="en-US"/>
        </w:rPr>
        <w:t xml:space="preserve">previous </w:t>
      </w:r>
      <w:r w:rsidR="009E589D">
        <w:rPr>
          <w:rFonts w:eastAsia="Calibri" w:cs="Arial"/>
          <w:color w:val="auto"/>
          <w:lang w:eastAsia="en-US"/>
        </w:rPr>
        <w:t>charge from the County to the City</w:t>
      </w:r>
      <w:r w:rsidRPr="0086277C">
        <w:rPr>
          <w:rFonts w:eastAsia="Calibri" w:cs="Arial"/>
          <w:color w:val="auto"/>
          <w:lang w:eastAsia="en-US"/>
        </w:rPr>
        <w:t>. The new contract with SCC and the cost of services that have been brought in house or are being managed directly has a total revenue cost of £940K pa against a revised budget of £979K.  This leaves a small amount for in-year changes and adjustments.</w:t>
      </w:r>
    </w:p>
    <w:p w14:paraId="77BE34C3" w14:textId="77777777" w:rsidR="008E4D82" w:rsidRDefault="008E4D82" w:rsidP="0086277C">
      <w:pPr>
        <w:spacing w:after="160" w:line="259" w:lineRule="auto"/>
        <w:rPr>
          <w:rFonts w:eastAsia="Calibri" w:cs="Arial"/>
          <w:color w:val="auto"/>
          <w:lang w:eastAsia="en-US"/>
        </w:rPr>
      </w:pPr>
      <w:r>
        <w:rPr>
          <w:rFonts w:eastAsia="Calibri" w:cs="Arial"/>
          <w:color w:val="auto"/>
          <w:lang w:eastAsia="en-US"/>
        </w:rPr>
        <w:t>The detailed financial implications for ongoing revenue costs and transition are set</w:t>
      </w:r>
      <w:r w:rsidR="00560B29">
        <w:rPr>
          <w:rFonts w:eastAsia="Calibri" w:cs="Arial"/>
          <w:color w:val="auto"/>
          <w:lang w:eastAsia="en-US"/>
        </w:rPr>
        <w:t xml:space="preserve"> </w:t>
      </w:r>
      <w:r>
        <w:rPr>
          <w:rFonts w:eastAsia="Calibri" w:cs="Arial"/>
          <w:color w:val="auto"/>
          <w:lang w:eastAsia="en-US"/>
        </w:rPr>
        <w:t xml:space="preserve">out </w:t>
      </w:r>
      <w:proofErr w:type="gramStart"/>
      <w:r>
        <w:rPr>
          <w:rFonts w:eastAsia="Calibri" w:cs="Arial"/>
          <w:color w:val="auto"/>
          <w:lang w:eastAsia="en-US"/>
        </w:rPr>
        <w:t>in</w:t>
      </w:r>
      <w:proofErr w:type="gramEnd"/>
      <w:r>
        <w:rPr>
          <w:rFonts w:eastAsia="Calibri" w:cs="Arial"/>
          <w:color w:val="auto"/>
          <w:lang w:eastAsia="en-US"/>
        </w:rPr>
        <w:t xml:space="preserve"> section 1</w:t>
      </w:r>
      <w:r w:rsidR="002D09AA">
        <w:rPr>
          <w:rFonts w:eastAsia="Calibri" w:cs="Arial"/>
          <w:color w:val="auto"/>
          <w:lang w:eastAsia="en-US"/>
        </w:rPr>
        <w:t>1</w:t>
      </w:r>
      <w:r>
        <w:rPr>
          <w:rFonts w:eastAsia="Calibri" w:cs="Arial"/>
          <w:color w:val="auto"/>
          <w:lang w:eastAsia="en-US"/>
        </w:rPr>
        <w:t>.</w:t>
      </w:r>
    </w:p>
    <w:p w14:paraId="56FB1C71" w14:textId="77777777" w:rsidR="001E6F54" w:rsidRPr="001E6F54" w:rsidRDefault="001E6F54" w:rsidP="001E6F54">
      <w:pPr>
        <w:tabs>
          <w:tab w:val="left" w:pos="1295"/>
        </w:tabs>
        <w:rPr>
          <w:rFonts w:cs="Arial"/>
        </w:rPr>
      </w:pPr>
    </w:p>
    <w:p w14:paraId="7A7F01C6" w14:textId="77777777" w:rsidR="00EA3A6F" w:rsidRPr="004A0A55" w:rsidRDefault="00EA3A6F" w:rsidP="00EA3A6F">
      <w:pPr>
        <w:pStyle w:val="ListParagraph"/>
        <w:rPr>
          <w:b/>
        </w:rPr>
      </w:pPr>
      <w:r w:rsidRPr="004A0A55">
        <w:rPr>
          <w:b/>
        </w:rPr>
        <w:t>Lessons Learnt</w:t>
      </w:r>
    </w:p>
    <w:p w14:paraId="75740A41" w14:textId="77777777" w:rsidR="00EA3A6F" w:rsidRDefault="00EA3A6F" w:rsidP="00EA3A6F">
      <w:pPr>
        <w:rPr>
          <w:rFonts w:cs="Arial"/>
        </w:rPr>
      </w:pPr>
      <w:r w:rsidRPr="00EA3A6F">
        <w:rPr>
          <w:rFonts w:cs="Arial"/>
        </w:rPr>
        <w:t>Whilst some of the technical issues arising from the migration could not have been anticipated and mitigated through improved procedural arrangements, a number of lessons have been learnt relating to the project management process and standard operating procedures as below:</w:t>
      </w:r>
    </w:p>
    <w:p w14:paraId="7FBA4D3B" w14:textId="77777777" w:rsidR="002D09AA" w:rsidRDefault="002D09AA" w:rsidP="00EA3A6F">
      <w:pPr>
        <w:rPr>
          <w:rFonts w:cs="Arial"/>
        </w:rPr>
      </w:pPr>
    </w:p>
    <w:p w14:paraId="2AE07FD4" w14:textId="77777777" w:rsidR="00507761" w:rsidRPr="00EA3A6F" w:rsidRDefault="00507761" w:rsidP="00EA3A6F">
      <w:pPr>
        <w:rPr>
          <w:rFonts w:cs="Arial"/>
        </w:rPr>
      </w:pPr>
      <w:bookmarkStart w:id="0" w:name="_GoBack"/>
      <w:bookmarkEnd w:id="0"/>
    </w:p>
    <w:p w14:paraId="2931C6BF" w14:textId="77777777" w:rsidR="0086277C" w:rsidRDefault="0086277C" w:rsidP="0086277C">
      <w:pPr>
        <w:rPr>
          <w:rFonts w:cs="Arial"/>
        </w:rPr>
      </w:pPr>
    </w:p>
    <w:tbl>
      <w:tblPr>
        <w:tblStyle w:val="TableGrid"/>
        <w:tblW w:w="9514" w:type="dxa"/>
        <w:tblLook w:val="04A0" w:firstRow="1" w:lastRow="0" w:firstColumn="1" w:lastColumn="0" w:noHBand="0" w:noVBand="1"/>
      </w:tblPr>
      <w:tblGrid>
        <w:gridCol w:w="2253"/>
        <w:gridCol w:w="2326"/>
        <w:gridCol w:w="2865"/>
        <w:gridCol w:w="2070"/>
      </w:tblGrid>
      <w:tr w:rsidR="00790528" w:rsidRPr="00320BC4" w14:paraId="3A7610FA" w14:textId="77777777" w:rsidTr="00560B29">
        <w:tc>
          <w:tcPr>
            <w:tcW w:w="2253" w:type="dxa"/>
          </w:tcPr>
          <w:p w14:paraId="75A26008" w14:textId="77777777" w:rsidR="00790528" w:rsidRPr="00320BC4" w:rsidRDefault="00790528" w:rsidP="00320BC4">
            <w:pPr>
              <w:rPr>
                <w:rFonts w:cs="Arial"/>
                <w:b/>
              </w:rPr>
            </w:pPr>
            <w:r w:rsidRPr="00320BC4">
              <w:rPr>
                <w:rFonts w:cs="Arial"/>
                <w:b/>
              </w:rPr>
              <w:lastRenderedPageBreak/>
              <w:t>Issue</w:t>
            </w:r>
          </w:p>
          <w:p w14:paraId="714AFA28" w14:textId="77777777" w:rsidR="00790528" w:rsidRPr="00320BC4" w:rsidRDefault="00790528" w:rsidP="00320BC4">
            <w:pPr>
              <w:rPr>
                <w:rFonts w:cs="Arial"/>
              </w:rPr>
            </w:pPr>
          </w:p>
        </w:tc>
        <w:tc>
          <w:tcPr>
            <w:tcW w:w="2326" w:type="dxa"/>
          </w:tcPr>
          <w:p w14:paraId="646BB60F" w14:textId="77777777" w:rsidR="00790528" w:rsidRPr="00320BC4" w:rsidRDefault="00790528" w:rsidP="00320BC4">
            <w:pPr>
              <w:rPr>
                <w:rFonts w:cs="Arial"/>
              </w:rPr>
            </w:pPr>
            <w:r w:rsidRPr="00320BC4">
              <w:rPr>
                <w:rFonts w:cs="Arial"/>
                <w:b/>
              </w:rPr>
              <w:t>Impact</w:t>
            </w:r>
          </w:p>
        </w:tc>
        <w:tc>
          <w:tcPr>
            <w:tcW w:w="2865" w:type="dxa"/>
          </w:tcPr>
          <w:p w14:paraId="13343C16" w14:textId="77777777" w:rsidR="00790528" w:rsidRPr="00320BC4" w:rsidRDefault="00790528" w:rsidP="00320BC4">
            <w:pPr>
              <w:rPr>
                <w:rFonts w:cs="Arial"/>
              </w:rPr>
            </w:pPr>
            <w:r w:rsidRPr="00320BC4">
              <w:rPr>
                <w:rFonts w:cs="Arial"/>
                <w:b/>
              </w:rPr>
              <w:t>Resolution</w:t>
            </w:r>
          </w:p>
        </w:tc>
        <w:tc>
          <w:tcPr>
            <w:tcW w:w="2070" w:type="dxa"/>
          </w:tcPr>
          <w:p w14:paraId="55F1DB47" w14:textId="77777777" w:rsidR="00790528" w:rsidRPr="00320BC4" w:rsidRDefault="00790528" w:rsidP="00320BC4">
            <w:pPr>
              <w:rPr>
                <w:rFonts w:cs="Arial"/>
                <w:b/>
              </w:rPr>
            </w:pPr>
            <w:r>
              <w:rPr>
                <w:rFonts w:cs="Arial"/>
                <w:b/>
              </w:rPr>
              <w:t>Target Date</w:t>
            </w:r>
          </w:p>
        </w:tc>
      </w:tr>
      <w:tr w:rsidR="00790528" w:rsidRPr="00320BC4" w14:paraId="5323DF69" w14:textId="77777777" w:rsidTr="00560B29">
        <w:tc>
          <w:tcPr>
            <w:tcW w:w="2253" w:type="dxa"/>
          </w:tcPr>
          <w:p w14:paraId="5E762D05" w14:textId="77777777" w:rsidR="00790528" w:rsidRPr="00320BC4" w:rsidRDefault="00790528" w:rsidP="00320BC4">
            <w:pPr>
              <w:rPr>
                <w:rFonts w:cs="Arial"/>
              </w:rPr>
            </w:pPr>
            <w:r>
              <w:rPr>
                <w:rFonts w:cs="Arial"/>
              </w:rPr>
              <w:t xml:space="preserve">6.1 </w:t>
            </w:r>
            <w:r w:rsidRPr="00320BC4">
              <w:rPr>
                <w:rFonts w:cs="Arial"/>
              </w:rPr>
              <w:t>The contract was awarded to SCC in July 2015. The County</w:t>
            </w:r>
            <w:r w:rsidR="00834B54">
              <w:rPr>
                <w:rFonts w:cs="Arial"/>
              </w:rPr>
              <w:t xml:space="preserve"> proposed contingency arrangements</w:t>
            </w:r>
            <w:r w:rsidRPr="00320BC4">
              <w:rPr>
                <w:rFonts w:cs="Arial"/>
              </w:rPr>
              <w:t xml:space="preserve"> </w:t>
            </w:r>
            <w:r w:rsidR="00834B54">
              <w:rPr>
                <w:rFonts w:cs="Arial"/>
              </w:rPr>
              <w:t>t</w:t>
            </w:r>
            <w:r w:rsidRPr="00320BC4">
              <w:rPr>
                <w:rFonts w:cs="Arial"/>
              </w:rPr>
              <w:t xml:space="preserve">hat would result in a £392k charge per quarter if the City </w:t>
            </w:r>
            <w:r w:rsidR="00834B54">
              <w:rPr>
                <w:rFonts w:cs="Arial"/>
              </w:rPr>
              <w:t>wanted to continue with</w:t>
            </w:r>
            <w:r w:rsidRPr="00320BC4">
              <w:rPr>
                <w:rFonts w:cs="Arial"/>
              </w:rPr>
              <w:t xml:space="preserve"> County systems </w:t>
            </w:r>
            <w:r w:rsidR="00834B54">
              <w:rPr>
                <w:rFonts w:cs="Arial"/>
              </w:rPr>
              <w:t xml:space="preserve">after </w:t>
            </w:r>
            <w:r w:rsidRPr="00320BC4">
              <w:rPr>
                <w:rFonts w:cs="Arial"/>
              </w:rPr>
              <w:t>31</w:t>
            </w:r>
            <w:r w:rsidRPr="00320BC4">
              <w:rPr>
                <w:rFonts w:cs="Arial"/>
                <w:vertAlign w:val="superscript"/>
              </w:rPr>
              <w:t>st</w:t>
            </w:r>
            <w:r w:rsidRPr="00320BC4">
              <w:rPr>
                <w:rFonts w:cs="Arial"/>
              </w:rPr>
              <w:t xml:space="preserve"> March 2016. Project management was therefore condensed into a challenging timeframe. Project planning commence</w:t>
            </w:r>
            <w:r>
              <w:rPr>
                <w:rFonts w:cs="Arial"/>
              </w:rPr>
              <w:t>d immediately following contract award which was not</w:t>
            </w:r>
            <w:r w:rsidRPr="00320BC4">
              <w:rPr>
                <w:rFonts w:cs="Arial"/>
              </w:rPr>
              <w:t xml:space="preserve"> until 6 months prior to migration deadline with no Project Initiation Document (PID) in place other than the SCC technical PID. </w:t>
            </w:r>
          </w:p>
          <w:p w14:paraId="76AA0FB9" w14:textId="77777777" w:rsidR="00790528" w:rsidRPr="00320BC4" w:rsidRDefault="00790528" w:rsidP="00320BC4">
            <w:pPr>
              <w:rPr>
                <w:rFonts w:cs="Arial"/>
              </w:rPr>
            </w:pPr>
          </w:p>
        </w:tc>
        <w:tc>
          <w:tcPr>
            <w:tcW w:w="2326" w:type="dxa"/>
          </w:tcPr>
          <w:p w14:paraId="752A3686" w14:textId="77777777" w:rsidR="00790528" w:rsidRPr="00320BC4" w:rsidRDefault="00790528" w:rsidP="00320BC4">
            <w:pPr>
              <w:rPr>
                <w:rFonts w:cs="Arial"/>
              </w:rPr>
            </w:pPr>
            <w:r w:rsidRPr="00320BC4">
              <w:rPr>
                <w:rFonts w:cs="Arial"/>
              </w:rPr>
              <w:t>The skills requirement of the project team were not articulated and agreed from the outset and initially the project was under-resourced resulting in the Project Sponsor having to assume responsibility for much of the technical work. Absence of a</w:t>
            </w:r>
            <w:r w:rsidR="006D289B">
              <w:rPr>
                <w:rFonts w:cs="Arial"/>
              </w:rPr>
              <w:t>n overall</w:t>
            </w:r>
            <w:r w:rsidRPr="00320BC4">
              <w:rPr>
                <w:rFonts w:cs="Arial"/>
              </w:rPr>
              <w:t xml:space="preserve"> PID meant that there was no consideration of other project </w:t>
            </w:r>
            <w:proofErr w:type="spellStart"/>
            <w:r w:rsidRPr="00320BC4">
              <w:rPr>
                <w:rFonts w:cs="Arial"/>
              </w:rPr>
              <w:t>workstreams</w:t>
            </w:r>
            <w:proofErr w:type="spellEnd"/>
            <w:r w:rsidRPr="00320BC4">
              <w:rPr>
                <w:rFonts w:cs="Arial"/>
              </w:rPr>
              <w:t xml:space="preserve"> other than technical aspects of the migration (such as developing processes for the newly-formed ICT Service Desk and the Comms Plan). Project team were not working to a co-ordinated plan. </w:t>
            </w:r>
          </w:p>
        </w:tc>
        <w:tc>
          <w:tcPr>
            <w:tcW w:w="2865" w:type="dxa"/>
          </w:tcPr>
          <w:p w14:paraId="161B7776" w14:textId="77777777" w:rsidR="00790528" w:rsidRDefault="00790528" w:rsidP="00320BC4">
            <w:pPr>
              <w:rPr>
                <w:rFonts w:cs="Arial"/>
              </w:rPr>
            </w:pPr>
            <w:r w:rsidRPr="00320BC4">
              <w:rPr>
                <w:rFonts w:cs="Arial"/>
              </w:rPr>
              <w:t xml:space="preserve">Project planning for a project of this scale to commence 12 months in advance to allow sufficient time for preparation of a robust PID.  Project management principles have now been reinforced across the ICT Service and additional project management training is scheduled for October 2016. The ICT Improvement Plan (Appendix A) includes a </w:t>
            </w:r>
            <w:r w:rsidR="006D289B">
              <w:rPr>
                <w:rFonts w:cs="Arial"/>
              </w:rPr>
              <w:t>p</w:t>
            </w:r>
            <w:r w:rsidRPr="00320BC4">
              <w:rPr>
                <w:rFonts w:cs="Arial"/>
              </w:rPr>
              <w:t xml:space="preserve">rocesses </w:t>
            </w:r>
            <w:proofErr w:type="spellStart"/>
            <w:r w:rsidRPr="00320BC4">
              <w:rPr>
                <w:rFonts w:cs="Arial"/>
              </w:rPr>
              <w:t>workstream</w:t>
            </w:r>
            <w:proofErr w:type="spellEnd"/>
            <w:r w:rsidRPr="00320BC4">
              <w:rPr>
                <w:rFonts w:cs="Arial"/>
              </w:rPr>
              <w:t xml:space="preserve"> (WS4) to address current gaps in the ICT Service Desk processes which were not included in the project plan</w:t>
            </w:r>
            <w:r w:rsidR="006D289B">
              <w:rPr>
                <w:rFonts w:cs="Arial"/>
              </w:rPr>
              <w:t>,</w:t>
            </w:r>
            <w:r w:rsidRPr="00320BC4">
              <w:rPr>
                <w:rFonts w:cs="Arial"/>
              </w:rPr>
              <w:t xml:space="preserve"> and is due for completion December 2016.</w:t>
            </w:r>
          </w:p>
          <w:p w14:paraId="6F7A9881" w14:textId="010F7E6C" w:rsidR="00D966FF" w:rsidRPr="00320BC4" w:rsidRDefault="00D966FF" w:rsidP="00320BC4">
            <w:pPr>
              <w:rPr>
                <w:rFonts w:cs="Arial"/>
              </w:rPr>
            </w:pPr>
            <w:r>
              <w:rPr>
                <w:rFonts w:cs="Arial"/>
              </w:rPr>
              <w:t xml:space="preserve">The Improvement Plan also includes a Skills </w:t>
            </w:r>
            <w:proofErr w:type="spellStart"/>
            <w:r>
              <w:rPr>
                <w:rFonts w:cs="Arial"/>
              </w:rPr>
              <w:t>workstream</w:t>
            </w:r>
            <w:proofErr w:type="spellEnd"/>
            <w:r>
              <w:rPr>
                <w:rFonts w:cs="Arial"/>
              </w:rPr>
              <w:t xml:space="preserve"> with a focus on Customer Services training</w:t>
            </w:r>
            <w:r w:rsidR="00237F0C">
              <w:rPr>
                <w:rFonts w:cs="Arial"/>
              </w:rPr>
              <w:t xml:space="preserve"> to deliver the cultural shift required to ensure a customer-focused service desk function.</w:t>
            </w:r>
          </w:p>
        </w:tc>
        <w:tc>
          <w:tcPr>
            <w:tcW w:w="2070" w:type="dxa"/>
          </w:tcPr>
          <w:p w14:paraId="4D39875F" w14:textId="77777777" w:rsidR="00790528" w:rsidRDefault="008E4D82" w:rsidP="00320BC4">
            <w:pPr>
              <w:rPr>
                <w:rFonts w:cs="Arial"/>
              </w:rPr>
            </w:pPr>
            <w:r>
              <w:rPr>
                <w:rFonts w:cs="Arial"/>
              </w:rPr>
              <w:t xml:space="preserve">Training - </w:t>
            </w:r>
            <w:r w:rsidR="00790528">
              <w:rPr>
                <w:rFonts w:cs="Arial"/>
              </w:rPr>
              <w:t>October 2016</w:t>
            </w:r>
          </w:p>
          <w:p w14:paraId="330B20C1" w14:textId="77777777" w:rsidR="008E4D82" w:rsidRDefault="008E4D82" w:rsidP="00320BC4">
            <w:pPr>
              <w:rPr>
                <w:rFonts w:cs="Arial"/>
              </w:rPr>
            </w:pPr>
          </w:p>
          <w:p w14:paraId="4CF44C67" w14:textId="77777777" w:rsidR="008E4D82" w:rsidRPr="00320BC4" w:rsidRDefault="008E4D82" w:rsidP="00320BC4">
            <w:pPr>
              <w:rPr>
                <w:rFonts w:cs="Arial"/>
              </w:rPr>
            </w:pPr>
            <w:r>
              <w:rPr>
                <w:rFonts w:cs="Arial"/>
              </w:rPr>
              <w:t>IT Service Desk enhancements – December 2016</w:t>
            </w:r>
          </w:p>
        </w:tc>
      </w:tr>
      <w:tr w:rsidR="00790528" w:rsidRPr="00320BC4" w14:paraId="27917FA5" w14:textId="77777777" w:rsidTr="00560B29">
        <w:tc>
          <w:tcPr>
            <w:tcW w:w="2253" w:type="dxa"/>
          </w:tcPr>
          <w:p w14:paraId="223EB0BD" w14:textId="77777777" w:rsidR="00790528" w:rsidRPr="00320BC4" w:rsidRDefault="00790528" w:rsidP="00320BC4">
            <w:pPr>
              <w:rPr>
                <w:rFonts w:cs="Arial"/>
              </w:rPr>
            </w:pPr>
            <w:r>
              <w:rPr>
                <w:rFonts w:cs="Arial"/>
              </w:rPr>
              <w:t xml:space="preserve">6.2 </w:t>
            </w:r>
            <w:r w:rsidRPr="00320BC4">
              <w:rPr>
                <w:rFonts w:cs="Arial"/>
              </w:rPr>
              <w:t>County held insufficient and inaccurate documentation on the City estate so the ‘Discovery’ phase of project took much longer than expected.</w:t>
            </w:r>
          </w:p>
        </w:tc>
        <w:tc>
          <w:tcPr>
            <w:tcW w:w="2326" w:type="dxa"/>
          </w:tcPr>
          <w:p w14:paraId="5A0F0439" w14:textId="77777777" w:rsidR="00790528" w:rsidRPr="00320BC4" w:rsidRDefault="00790528" w:rsidP="00320BC4">
            <w:pPr>
              <w:rPr>
                <w:rFonts w:cs="Arial"/>
              </w:rPr>
            </w:pPr>
            <w:r w:rsidRPr="00320BC4">
              <w:rPr>
                <w:rFonts w:cs="Arial"/>
              </w:rPr>
              <w:t xml:space="preserve">High Level Design for technical aspects of project </w:t>
            </w:r>
            <w:proofErr w:type="gramStart"/>
            <w:r w:rsidRPr="00320BC4">
              <w:rPr>
                <w:rFonts w:cs="Arial"/>
              </w:rPr>
              <w:t>were</w:t>
            </w:r>
            <w:proofErr w:type="gramEnd"/>
            <w:r w:rsidRPr="00320BC4">
              <w:rPr>
                <w:rFonts w:cs="Arial"/>
              </w:rPr>
              <w:t xml:space="preserve"> not ready when required and Low Level Design was not completed until post-migration. Therefore much of the technical work was undertaken without documentation and </w:t>
            </w:r>
            <w:r w:rsidRPr="00320BC4">
              <w:rPr>
                <w:rFonts w:cs="Arial"/>
              </w:rPr>
              <w:lastRenderedPageBreak/>
              <w:t>resulted in ‘fire-fighting’.</w:t>
            </w:r>
          </w:p>
        </w:tc>
        <w:tc>
          <w:tcPr>
            <w:tcW w:w="2865" w:type="dxa"/>
          </w:tcPr>
          <w:p w14:paraId="0D21D614" w14:textId="77777777" w:rsidR="00790528" w:rsidRPr="00320BC4" w:rsidRDefault="00790528" w:rsidP="00320BC4">
            <w:pPr>
              <w:rPr>
                <w:rFonts w:cs="Arial"/>
              </w:rPr>
            </w:pPr>
            <w:r w:rsidRPr="00320BC4">
              <w:rPr>
                <w:rFonts w:cs="Arial"/>
              </w:rPr>
              <w:lastRenderedPageBreak/>
              <w:t xml:space="preserve">As there was little documentation from County on handover to City, </w:t>
            </w:r>
            <w:r w:rsidR="008E4D82">
              <w:rPr>
                <w:rFonts w:cs="Arial"/>
              </w:rPr>
              <w:t>the City ICT team</w:t>
            </w:r>
            <w:r w:rsidRPr="00320BC4">
              <w:rPr>
                <w:rFonts w:cs="Arial"/>
              </w:rPr>
              <w:t xml:space="preserve"> are currently working to complete documentation on the City estate. The ICT Improvement Plan (Appendix A) includes a Tools </w:t>
            </w:r>
            <w:proofErr w:type="spellStart"/>
            <w:r w:rsidRPr="00320BC4">
              <w:rPr>
                <w:rFonts w:cs="Arial"/>
              </w:rPr>
              <w:t>workstream</w:t>
            </w:r>
            <w:proofErr w:type="spellEnd"/>
            <w:r w:rsidRPr="00320BC4">
              <w:rPr>
                <w:rFonts w:cs="Arial"/>
              </w:rPr>
              <w:t xml:space="preserve"> (WS3) that sets out activities to capture and maintain knowledge and </w:t>
            </w:r>
            <w:r w:rsidRPr="00320BC4">
              <w:rPr>
                <w:rFonts w:cs="Arial"/>
              </w:rPr>
              <w:lastRenderedPageBreak/>
              <w:t>documentation on the City’s estate and assets.</w:t>
            </w:r>
          </w:p>
          <w:p w14:paraId="661E68CC" w14:textId="77777777" w:rsidR="00790528" w:rsidRPr="00320BC4" w:rsidRDefault="00790528" w:rsidP="00320BC4">
            <w:pPr>
              <w:rPr>
                <w:rFonts w:cs="Arial"/>
              </w:rPr>
            </w:pPr>
          </w:p>
        </w:tc>
        <w:tc>
          <w:tcPr>
            <w:tcW w:w="2070" w:type="dxa"/>
          </w:tcPr>
          <w:p w14:paraId="37A74868" w14:textId="77777777" w:rsidR="00790528" w:rsidRPr="00320BC4" w:rsidRDefault="008E4D82" w:rsidP="00320BC4">
            <w:pPr>
              <w:rPr>
                <w:rFonts w:cs="Arial"/>
              </w:rPr>
            </w:pPr>
            <w:r>
              <w:rPr>
                <w:rFonts w:cs="Arial"/>
              </w:rPr>
              <w:lastRenderedPageBreak/>
              <w:t>Documentation complete and added to IT Knowledge</w:t>
            </w:r>
            <w:r w:rsidR="00560B29">
              <w:rPr>
                <w:rFonts w:cs="Arial"/>
              </w:rPr>
              <w:t xml:space="preserve"> </w:t>
            </w:r>
            <w:r>
              <w:rPr>
                <w:rFonts w:cs="Arial"/>
              </w:rPr>
              <w:t>base – November 2016</w:t>
            </w:r>
          </w:p>
        </w:tc>
      </w:tr>
      <w:tr w:rsidR="00790528" w:rsidRPr="00320BC4" w14:paraId="798205F4" w14:textId="77777777" w:rsidTr="00560B29">
        <w:tc>
          <w:tcPr>
            <w:tcW w:w="2253" w:type="dxa"/>
          </w:tcPr>
          <w:p w14:paraId="13DAA9D2" w14:textId="77777777" w:rsidR="00790528" w:rsidRPr="00320BC4" w:rsidRDefault="00790528" w:rsidP="00320BC4">
            <w:pPr>
              <w:rPr>
                <w:rFonts w:cs="Arial"/>
              </w:rPr>
            </w:pPr>
            <w:r>
              <w:rPr>
                <w:rFonts w:cs="Arial"/>
              </w:rPr>
              <w:lastRenderedPageBreak/>
              <w:t xml:space="preserve">6.3 </w:t>
            </w:r>
            <w:r w:rsidRPr="00320BC4">
              <w:rPr>
                <w:rFonts w:cs="Arial"/>
              </w:rPr>
              <w:t>Technical Implementation Plans (TIPs) worked well and were a good example of Application Owners, project team and supplier working well. Infrastructure items were excluded from the TIPs process.</w:t>
            </w:r>
          </w:p>
          <w:p w14:paraId="46B19EB4" w14:textId="77777777" w:rsidR="00790528" w:rsidRPr="00320BC4" w:rsidRDefault="00790528" w:rsidP="00320BC4">
            <w:pPr>
              <w:rPr>
                <w:rFonts w:cs="Arial"/>
              </w:rPr>
            </w:pPr>
          </w:p>
          <w:p w14:paraId="272228D2" w14:textId="77777777" w:rsidR="00790528" w:rsidRPr="00320BC4" w:rsidRDefault="00790528" w:rsidP="00320BC4">
            <w:pPr>
              <w:rPr>
                <w:rFonts w:cs="Arial"/>
              </w:rPr>
            </w:pPr>
          </w:p>
          <w:p w14:paraId="6484DA6D" w14:textId="77777777" w:rsidR="00790528" w:rsidRDefault="00790528" w:rsidP="00320BC4">
            <w:pPr>
              <w:rPr>
                <w:rFonts w:cs="Arial"/>
              </w:rPr>
            </w:pPr>
          </w:p>
          <w:p w14:paraId="57BC7524" w14:textId="77777777" w:rsidR="00790528" w:rsidRPr="00320BC4" w:rsidRDefault="00790528" w:rsidP="00320BC4">
            <w:pPr>
              <w:rPr>
                <w:rFonts w:cs="Arial"/>
              </w:rPr>
            </w:pPr>
          </w:p>
        </w:tc>
        <w:tc>
          <w:tcPr>
            <w:tcW w:w="2326" w:type="dxa"/>
          </w:tcPr>
          <w:p w14:paraId="73E6D558" w14:textId="77777777" w:rsidR="00790528" w:rsidRPr="00320BC4" w:rsidRDefault="00790528" w:rsidP="00320BC4">
            <w:pPr>
              <w:rPr>
                <w:rFonts w:cs="Arial"/>
              </w:rPr>
            </w:pPr>
            <w:r w:rsidRPr="00320BC4">
              <w:rPr>
                <w:rFonts w:cs="Arial"/>
              </w:rPr>
              <w:t xml:space="preserve">Migration of applications worked very well and no application outages were experienced. The most significant technical issues arising from migration were related to infrastructure items </w:t>
            </w:r>
            <w:proofErr w:type="spellStart"/>
            <w:r w:rsidRPr="00320BC4">
              <w:rPr>
                <w:rFonts w:cs="Arial"/>
              </w:rPr>
              <w:t>i.e</w:t>
            </w:r>
            <w:proofErr w:type="spellEnd"/>
            <w:r w:rsidRPr="00320BC4">
              <w:rPr>
                <w:rFonts w:cs="Arial"/>
              </w:rPr>
              <w:t xml:space="preserve"> </w:t>
            </w:r>
            <w:proofErr w:type="spellStart"/>
            <w:r w:rsidRPr="00320BC4">
              <w:rPr>
                <w:rFonts w:cs="Arial"/>
              </w:rPr>
              <w:t>Filestore</w:t>
            </w:r>
            <w:proofErr w:type="spellEnd"/>
            <w:r w:rsidRPr="00320BC4">
              <w:rPr>
                <w:rFonts w:cs="Arial"/>
              </w:rPr>
              <w:t xml:space="preserve"> (lost/duplicated data), Citrix and the Active Directory (logging in/remote working).</w:t>
            </w:r>
          </w:p>
        </w:tc>
        <w:tc>
          <w:tcPr>
            <w:tcW w:w="2865" w:type="dxa"/>
          </w:tcPr>
          <w:p w14:paraId="7993870D" w14:textId="77777777" w:rsidR="00790528" w:rsidRDefault="00790528" w:rsidP="00320BC4">
            <w:pPr>
              <w:rPr>
                <w:rFonts w:cs="Arial"/>
              </w:rPr>
            </w:pPr>
            <w:r w:rsidRPr="00320BC4">
              <w:rPr>
                <w:rFonts w:cs="Arial"/>
              </w:rPr>
              <w:t xml:space="preserve">The TIPs process has been documented to be made available in the new ICT Service Desk knowledge base (Appendix A: WS3). The Skills </w:t>
            </w:r>
            <w:proofErr w:type="spellStart"/>
            <w:r w:rsidRPr="00320BC4">
              <w:rPr>
                <w:rFonts w:cs="Arial"/>
              </w:rPr>
              <w:t>workstream</w:t>
            </w:r>
            <w:proofErr w:type="spellEnd"/>
            <w:r w:rsidRPr="00320BC4">
              <w:rPr>
                <w:rFonts w:cs="Arial"/>
              </w:rPr>
              <w:t xml:space="preserve"> in the ICT Improvement Plan (WS1A) includes a Skills Transfer Seminar on the use of TIPs. Increasing the technical skills of in-house staff will </w:t>
            </w:r>
            <w:proofErr w:type="gramStart"/>
            <w:r w:rsidRPr="00320BC4">
              <w:rPr>
                <w:rFonts w:cs="Arial"/>
              </w:rPr>
              <w:t>mitigate</w:t>
            </w:r>
            <w:proofErr w:type="gramEnd"/>
            <w:r w:rsidRPr="00320BC4">
              <w:rPr>
                <w:rFonts w:cs="Arial"/>
              </w:rPr>
              <w:t xml:space="preserve"> against any future issues with infrastructure items such as </w:t>
            </w:r>
            <w:proofErr w:type="spellStart"/>
            <w:r w:rsidRPr="00320BC4">
              <w:rPr>
                <w:rFonts w:cs="Arial"/>
              </w:rPr>
              <w:t>Filestore</w:t>
            </w:r>
            <w:proofErr w:type="spellEnd"/>
            <w:r w:rsidRPr="00320BC4">
              <w:rPr>
                <w:rFonts w:cs="Arial"/>
              </w:rPr>
              <w:t xml:space="preserve"> and Active Directory.</w:t>
            </w:r>
          </w:p>
          <w:p w14:paraId="2BB1081E" w14:textId="77777777" w:rsidR="00790528" w:rsidRPr="00320BC4" w:rsidRDefault="00790528" w:rsidP="00320BC4">
            <w:pPr>
              <w:rPr>
                <w:rFonts w:cs="Arial"/>
              </w:rPr>
            </w:pPr>
          </w:p>
        </w:tc>
        <w:tc>
          <w:tcPr>
            <w:tcW w:w="2070" w:type="dxa"/>
          </w:tcPr>
          <w:p w14:paraId="41912D42" w14:textId="77777777" w:rsidR="00790528" w:rsidRPr="00320BC4" w:rsidRDefault="008E4D82" w:rsidP="00320BC4">
            <w:pPr>
              <w:rPr>
                <w:rFonts w:cs="Arial"/>
              </w:rPr>
            </w:pPr>
            <w:r>
              <w:rPr>
                <w:rFonts w:cs="Arial"/>
              </w:rPr>
              <w:t>Service Improvement Plan Skills Transfer – December 2016</w:t>
            </w:r>
          </w:p>
        </w:tc>
      </w:tr>
      <w:tr w:rsidR="00790528" w:rsidRPr="00320BC4" w14:paraId="580612BF" w14:textId="77777777" w:rsidTr="00560B29">
        <w:tc>
          <w:tcPr>
            <w:tcW w:w="2253" w:type="dxa"/>
          </w:tcPr>
          <w:p w14:paraId="0C2B5EB3" w14:textId="77777777" w:rsidR="00790528" w:rsidRPr="00320BC4" w:rsidRDefault="00790528" w:rsidP="00320BC4">
            <w:pPr>
              <w:rPr>
                <w:rFonts w:cs="Arial"/>
              </w:rPr>
            </w:pPr>
            <w:r>
              <w:rPr>
                <w:rFonts w:cs="Arial"/>
              </w:rPr>
              <w:t xml:space="preserve">6.4 </w:t>
            </w:r>
            <w:r w:rsidRPr="00320BC4">
              <w:rPr>
                <w:rFonts w:cs="Arial"/>
              </w:rPr>
              <w:t>SCC Project Plan and key milestones were not readily available to the City Project Manager or the project team resulting in lack of clarity concerning some milestones.</w:t>
            </w:r>
          </w:p>
        </w:tc>
        <w:tc>
          <w:tcPr>
            <w:tcW w:w="2326" w:type="dxa"/>
          </w:tcPr>
          <w:p w14:paraId="76DCB2A5" w14:textId="77777777" w:rsidR="00790528" w:rsidRPr="00320BC4" w:rsidRDefault="00790528" w:rsidP="00320BC4">
            <w:pPr>
              <w:rPr>
                <w:rFonts w:cs="Arial"/>
              </w:rPr>
            </w:pPr>
            <w:r w:rsidRPr="00320BC4">
              <w:rPr>
                <w:rFonts w:cs="Arial"/>
              </w:rPr>
              <w:t xml:space="preserve">Unnecessary time was lost negotiating over points that should not have required negotiation had the project team had access to the SCC </w:t>
            </w:r>
            <w:r w:rsidRPr="00560B29">
              <w:rPr>
                <w:rFonts w:cs="Arial"/>
              </w:rPr>
              <w:t>project plan e.g. date for handover to BAU arrangements on 1</w:t>
            </w:r>
            <w:r w:rsidRPr="00560B29">
              <w:rPr>
                <w:rFonts w:cs="Arial"/>
                <w:vertAlign w:val="superscript"/>
              </w:rPr>
              <w:t>st</w:t>
            </w:r>
            <w:r w:rsidRPr="00560B29">
              <w:rPr>
                <w:rFonts w:cs="Arial"/>
              </w:rPr>
              <w:t xml:space="preserve"> May.</w:t>
            </w:r>
          </w:p>
        </w:tc>
        <w:tc>
          <w:tcPr>
            <w:tcW w:w="2865" w:type="dxa"/>
          </w:tcPr>
          <w:p w14:paraId="0BBE57EF" w14:textId="77777777" w:rsidR="00790528" w:rsidRPr="00320BC4" w:rsidRDefault="00790528" w:rsidP="00320BC4">
            <w:pPr>
              <w:rPr>
                <w:rFonts w:cs="Arial"/>
              </w:rPr>
            </w:pPr>
            <w:r w:rsidRPr="00320BC4">
              <w:rPr>
                <w:rFonts w:cs="Arial"/>
              </w:rPr>
              <w:t>Ensure sign-off by all key stakeholders of key project documentation and ensure integration of project plans. Project management principles have now been reinforced across the ICT Service and additional project management training is scheduled for October 2016</w:t>
            </w:r>
          </w:p>
        </w:tc>
        <w:tc>
          <w:tcPr>
            <w:tcW w:w="2070" w:type="dxa"/>
          </w:tcPr>
          <w:p w14:paraId="20402632" w14:textId="77777777" w:rsidR="00790528" w:rsidRPr="00320BC4" w:rsidRDefault="008E4D82" w:rsidP="00320BC4">
            <w:pPr>
              <w:rPr>
                <w:rFonts w:cs="Arial"/>
              </w:rPr>
            </w:pPr>
            <w:r>
              <w:rPr>
                <w:rFonts w:cs="Arial"/>
              </w:rPr>
              <w:t>Project Management Training – October 2016</w:t>
            </w:r>
          </w:p>
        </w:tc>
      </w:tr>
      <w:tr w:rsidR="00790528" w:rsidRPr="00320BC4" w14:paraId="45FAB520" w14:textId="77777777" w:rsidTr="00560B29">
        <w:tc>
          <w:tcPr>
            <w:tcW w:w="2253" w:type="dxa"/>
          </w:tcPr>
          <w:p w14:paraId="7C0A0745" w14:textId="5EF47BCE" w:rsidR="00790528" w:rsidRPr="00320BC4" w:rsidRDefault="00790528" w:rsidP="00CA3815">
            <w:pPr>
              <w:rPr>
                <w:rFonts w:cs="Arial"/>
              </w:rPr>
            </w:pPr>
            <w:r>
              <w:rPr>
                <w:rFonts w:cs="Arial"/>
              </w:rPr>
              <w:t xml:space="preserve">6.5 </w:t>
            </w:r>
            <w:r w:rsidRPr="00320BC4">
              <w:rPr>
                <w:rFonts w:cs="Arial"/>
              </w:rPr>
              <w:t>No in-house skills available for WAN technical work</w:t>
            </w:r>
            <w:r w:rsidR="00CA3815">
              <w:rPr>
                <w:rFonts w:cs="Arial"/>
              </w:rPr>
              <w:t>.  This had been recognised and mitigated through recruitment of external contractors but initially their a</w:t>
            </w:r>
            <w:r w:rsidRPr="00320BC4">
              <w:rPr>
                <w:rFonts w:cs="Arial"/>
              </w:rPr>
              <w:t>vailability was limited.</w:t>
            </w:r>
          </w:p>
        </w:tc>
        <w:tc>
          <w:tcPr>
            <w:tcW w:w="2326" w:type="dxa"/>
          </w:tcPr>
          <w:p w14:paraId="27C5D2C3" w14:textId="77777777" w:rsidR="00790528" w:rsidRPr="00320BC4" w:rsidRDefault="00790528" w:rsidP="00320BC4">
            <w:pPr>
              <w:rPr>
                <w:rFonts w:cs="Arial"/>
              </w:rPr>
            </w:pPr>
            <w:r w:rsidRPr="00320BC4">
              <w:rPr>
                <w:rFonts w:cs="Arial"/>
              </w:rPr>
              <w:t xml:space="preserve">Contractors worked long hours during migration and this led to mistakes. Limited external resource has also prevented any opportunity to transfer skills and knowledge to the in-house team. </w:t>
            </w:r>
          </w:p>
        </w:tc>
        <w:tc>
          <w:tcPr>
            <w:tcW w:w="2865" w:type="dxa"/>
          </w:tcPr>
          <w:p w14:paraId="6B333D82" w14:textId="77777777" w:rsidR="00790528" w:rsidRPr="00320BC4" w:rsidRDefault="00790528" w:rsidP="00320BC4">
            <w:pPr>
              <w:rPr>
                <w:rFonts w:cs="Arial"/>
              </w:rPr>
            </w:pPr>
            <w:r w:rsidRPr="00320BC4">
              <w:rPr>
                <w:rFonts w:cs="Arial"/>
              </w:rPr>
              <w:t xml:space="preserve">Identify appropriate internal resource and arrange skills and knowledge transfer from contractors. The ICT Improvement Plan includes a Skills </w:t>
            </w:r>
            <w:proofErr w:type="spellStart"/>
            <w:r w:rsidRPr="00320BC4">
              <w:rPr>
                <w:rFonts w:cs="Arial"/>
              </w:rPr>
              <w:t>workstream</w:t>
            </w:r>
            <w:proofErr w:type="spellEnd"/>
            <w:r w:rsidRPr="00320BC4">
              <w:rPr>
                <w:rFonts w:cs="Arial"/>
              </w:rPr>
              <w:t xml:space="preserve"> (WS1A) with a structured handover and training schedule.</w:t>
            </w:r>
          </w:p>
        </w:tc>
        <w:tc>
          <w:tcPr>
            <w:tcW w:w="2070" w:type="dxa"/>
          </w:tcPr>
          <w:p w14:paraId="27CB86AF" w14:textId="77777777" w:rsidR="00790528" w:rsidRPr="00320BC4" w:rsidRDefault="008E4D82" w:rsidP="00320BC4">
            <w:pPr>
              <w:rPr>
                <w:rFonts w:cs="Arial"/>
              </w:rPr>
            </w:pPr>
            <w:r>
              <w:rPr>
                <w:rFonts w:cs="Arial"/>
              </w:rPr>
              <w:t>ICT Improvement Plan, Skills Training – December 2016</w:t>
            </w:r>
          </w:p>
        </w:tc>
      </w:tr>
      <w:tr w:rsidR="00790528" w:rsidRPr="00320BC4" w14:paraId="593CF244" w14:textId="77777777" w:rsidTr="00560B29">
        <w:tc>
          <w:tcPr>
            <w:tcW w:w="2253" w:type="dxa"/>
          </w:tcPr>
          <w:p w14:paraId="3E036664" w14:textId="77777777" w:rsidR="00790528" w:rsidRPr="00320BC4" w:rsidRDefault="00790528" w:rsidP="00320BC4">
            <w:pPr>
              <w:rPr>
                <w:rFonts w:cs="Arial"/>
              </w:rPr>
            </w:pPr>
            <w:r>
              <w:rPr>
                <w:rFonts w:cs="Arial"/>
              </w:rPr>
              <w:lastRenderedPageBreak/>
              <w:t xml:space="preserve">6.6 </w:t>
            </w:r>
            <w:r w:rsidRPr="00320BC4">
              <w:rPr>
                <w:rFonts w:cs="Arial"/>
              </w:rPr>
              <w:t>Not enough time to undertake a trial migration in advance of full migration.</w:t>
            </w:r>
          </w:p>
          <w:p w14:paraId="237BD509" w14:textId="77777777" w:rsidR="00790528" w:rsidRPr="00320BC4" w:rsidRDefault="00790528" w:rsidP="00320BC4">
            <w:pPr>
              <w:rPr>
                <w:rFonts w:cs="Arial"/>
              </w:rPr>
            </w:pPr>
          </w:p>
        </w:tc>
        <w:tc>
          <w:tcPr>
            <w:tcW w:w="2326" w:type="dxa"/>
          </w:tcPr>
          <w:p w14:paraId="60A8716A" w14:textId="77777777" w:rsidR="00790528" w:rsidRPr="00320BC4" w:rsidRDefault="00790528" w:rsidP="00320BC4">
            <w:pPr>
              <w:rPr>
                <w:rFonts w:cs="Arial"/>
              </w:rPr>
            </w:pPr>
            <w:r w:rsidRPr="00320BC4">
              <w:rPr>
                <w:rFonts w:cs="Arial"/>
              </w:rPr>
              <w:t>Trial migration may have alerted the project team to the performance issues arising from use of the ‘Double Take’ software (for copying applications) on older servers that resulted in very slow speed when copying across.</w:t>
            </w:r>
          </w:p>
        </w:tc>
        <w:tc>
          <w:tcPr>
            <w:tcW w:w="2865" w:type="dxa"/>
          </w:tcPr>
          <w:p w14:paraId="3913E3B9" w14:textId="77777777" w:rsidR="00790528" w:rsidRPr="00320BC4" w:rsidRDefault="00790528" w:rsidP="00320BC4">
            <w:pPr>
              <w:rPr>
                <w:rFonts w:cs="Arial"/>
              </w:rPr>
            </w:pPr>
            <w:r w:rsidRPr="00320BC4">
              <w:rPr>
                <w:rFonts w:cs="Arial"/>
              </w:rPr>
              <w:t>If using the same process again for copying data, undertake a trial migration across a range of servers including older ones.</w:t>
            </w:r>
          </w:p>
        </w:tc>
        <w:tc>
          <w:tcPr>
            <w:tcW w:w="2070" w:type="dxa"/>
          </w:tcPr>
          <w:p w14:paraId="4B13FF7B" w14:textId="77777777" w:rsidR="00790528" w:rsidRPr="00320BC4" w:rsidRDefault="008E4D82" w:rsidP="00320BC4">
            <w:pPr>
              <w:rPr>
                <w:rFonts w:cs="Arial"/>
              </w:rPr>
            </w:pPr>
            <w:r>
              <w:rPr>
                <w:rFonts w:cs="Arial"/>
              </w:rPr>
              <w:t>As required in future major projects</w:t>
            </w:r>
          </w:p>
        </w:tc>
      </w:tr>
    </w:tbl>
    <w:p w14:paraId="1226F9B7" w14:textId="77777777" w:rsidR="00320BC4" w:rsidRPr="00965548" w:rsidRDefault="00320BC4" w:rsidP="0086277C">
      <w:pPr>
        <w:rPr>
          <w:rFonts w:cs="Arial"/>
          <w:b/>
        </w:rPr>
      </w:pPr>
    </w:p>
    <w:p w14:paraId="7C46A13E" w14:textId="77777777" w:rsidR="00C56AD2" w:rsidRPr="00965548" w:rsidRDefault="00C56AD2" w:rsidP="00C56AD2">
      <w:pPr>
        <w:pStyle w:val="ListParagraph"/>
        <w:rPr>
          <w:b/>
        </w:rPr>
      </w:pPr>
      <w:r w:rsidRPr="00965548">
        <w:rPr>
          <w:b/>
        </w:rPr>
        <w:t>Reputational Damage from Loss of Public Facing Services</w:t>
      </w:r>
    </w:p>
    <w:p w14:paraId="3CA4B778" w14:textId="77777777" w:rsidR="00C56AD2" w:rsidRDefault="00C56AD2" w:rsidP="00C56AD2">
      <w:pPr>
        <w:rPr>
          <w:rFonts w:cs="Arial"/>
        </w:rPr>
      </w:pPr>
      <w:r w:rsidRPr="00C56AD2">
        <w:rPr>
          <w:rFonts w:cs="Arial"/>
        </w:rPr>
        <w:t xml:space="preserve">Whilst 57 software systems were successfully migrated, there were significant issues related to infrastructure items such as </w:t>
      </w:r>
      <w:proofErr w:type="spellStart"/>
      <w:r w:rsidRPr="00C56AD2">
        <w:rPr>
          <w:rFonts w:cs="Arial"/>
        </w:rPr>
        <w:t>Filestore</w:t>
      </w:r>
      <w:proofErr w:type="spellEnd"/>
      <w:r w:rsidRPr="00C56AD2">
        <w:rPr>
          <w:rFonts w:cs="Arial"/>
        </w:rPr>
        <w:t xml:space="preserve"> and MS Exchange that impacted on public facing services. The City responded swiftly with messages advising customers of the issues with on line services on the website, extension to consultation deadlines were put in place where required and regular communications were maintained with affected customers</w:t>
      </w:r>
      <w:r w:rsidR="006322F2">
        <w:rPr>
          <w:rFonts w:cs="Arial"/>
        </w:rPr>
        <w:t xml:space="preserve"> and senior stakeholders, with general updates going to the whole organisation</w:t>
      </w:r>
      <w:r w:rsidRPr="00C56AD2">
        <w:rPr>
          <w:rFonts w:cs="Arial"/>
        </w:rPr>
        <w:t>.</w:t>
      </w:r>
    </w:p>
    <w:p w14:paraId="4A71A171" w14:textId="77777777" w:rsidR="00237F0C" w:rsidRPr="00C56AD2" w:rsidRDefault="00237F0C" w:rsidP="00C56AD2">
      <w:pPr>
        <w:rPr>
          <w:rFonts w:cs="Arial"/>
        </w:rPr>
      </w:pPr>
    </w:p>
    <w:tbl>
      <w:tblPr>
        <w:tblStyle w:val="TableGrid"/>
        <w:tblW w:w="0" w:type="auto"/>
        <w:tblLook w:val="04A0" w:firstRow="1" w:lastRow="0" w:firstColumn="1" w:lastColumn="0" w:noHBand="0" w:noVBand="1"/>
      </w:tblPr>
      <w:tblGrid>
        <w:gridCol w:w="2419"/>
        <w:gridCol w:w="3074"/>
        <w:gridCol w:w="4021"/>
      </w:tblGrid>
      <w:tr w:rsidR="00397BAD" w:rsidRPr="00397BAD" w14:paraId="1BB944E3" w14:textId="77777777" w:rsidTr="00965548">
        <w:tc>
          <w:tcPr>
            <w:tcW w:w="2419" w:type="dxa"/>
          </w:tcPr>
          <w:p w14:paraId="161F3875" w14:textId="77777777" w:rsidR="00397BAD" w:rsidRPr="00397BAD" w:rsidRDefault="00397BAD" w:rsidP="00397BAD">
            <w:pPr>
              <w:rPr>
                <w:rFonts w:cs="Arial"/>
                <w:b/>
              </w:rPr>
            </w:pPr>
            <w:r w:rsidRPr="00397BAD">
              <w:rPr>
                <w:rFonts w:cs="Arial"/>
                <w:b/>
              </w:rPr>
              <w:t>Issue</w:t>
            </w:r>
          </w:p>
        </w:tc>
        <w:tc>
          <w:tcPr>
            <w:tcW w:w="3074" w:type="dxa"/>
          </w:tcPr>
          <w:p w14:paraId="46C5AD61" w14:textId="77777777" w:rsidR="00397BAD" w:rsidRPr="00397BAD" w:rsidRDefault="00397BAD" w:rsidP="00397BAD">
            <w:pPr>
              <w:rPr>
                <w:rFonts w:cs="Arial"/>
                <w:b/>
              </w:rPr>
            </w:pPr>
            <w:r w:rsidRPr="00397BAD">
              <w:rPr>
                <w:rFonts w:cs="Arial"/>
                <w:b/>
              </w:rPr>
              <w:t>Impact</w:t>
            </w:r>
          </w:p>
        </w:tc>
        <w:tc>
          <w:tcPr>
            <w:tcW w:w="4021" w:type="dxa"/>
          </w:tcPr>
          <w:p w14:paraId="28994A04" w14:textId="77777777" w:rsidR="00397BAD" w:rsidRPr="00397BAD" w:rsidRDefault="00397BAD" w:rsidP="00397BAD">
            <w:pPr>
              <w:rPr>
                <w:rFonts w:cs="Arial"/>
                <w:b/>
              </w:rPr>
            </w:pPr>
            <w:r w:rsidRPr="00397BAD">
              <w:rPr>
                <w:rFonts w:cs="Arial"/>
                <w:b/>
              </w:rPr>
              <w:t>Resolution</w:t>
            </w:r>
          </w:p>
        </w:tc>
      </w:tr>
      <w:tr w:rsidR="00397BAD" w:rsidRPr="00397BAD" w14:paraId="3711C2EE" w14:textId="77777777" w:rsidTr="00965548">
        <w:tc>
          <w:tcPr>
            <w:tcW w:w="2419" w:type="dxa"/>
          </w:tcPr>
          <w:p w14:paraId="2D946C3E" w14:textId="77777777" w:rsidR="00397BAD" w:rsidRPr="00397BAD" w:rsidRDefault="00397BAD" w:rsidP="00397BAD">
            <w:pPr>
              <w:rPr>
                <w:rFonts w:cs="Arial"/>
              </w:rPr>
            </w:pPr>
            <w:r w:rsidRPr="00397BAD">
              <w:rPr>
                <w:rFonts w:cs="Arial"/>
              </w:rPr>
              <w:t xml:space="preserve"> </w:t>
            </w:r>
            <w:r w:rsidR="004A0A55">
              <w:rPr>
                <w:rFonts w:cs="Arial"/>
              </w:rPr>
              <w:t xml:space="preserve">7.1 </w:t>
            </w:r>
            <w:proofErr w:type="spellStart"/>
            <w:r w:rsidRPr="00397BAD">
              <w:rPr>
                <w:rFonts w:cs="Arial"/>
              </w:rPr>
              <w:t>Filestore</w:t>
            </w:r>
            <w:proofErr w:type="spellEnd"/>
            <w:r w:rsidRPr="00397BAD">
              <w:rPr>
                <w:rFonts w:cs="Arial"/>
              </w:rPr>
              <w:t xml:space="preserve"> migration resulted in missing data files on the m</w:t>
            </w:r>
            <w:proofErr w:type="gramStart"/>
            <w:r w:rsidRPr="00397BAD">
              <w:rPr>
                <w:rFonts w:cs="Arial"/>
              </w:rPr>
              <w:t>:drive</w:t>
            </w:r>
            <w:proofErr w:type="gramEnd"/>
            <w:r w:rsidRPr="00397BAD">
              <w:rPr>
                <w:rFonts w:cs="Arial"/>
              </w:rPr>
              <w:t xml:space="preserve"> and archive server that were not recovered until June.</w:t>
            </w:r>
          </w:p>
        </w:tc>
        <w:tc>
          <w:tcPr>
            <w:tcW w:w="3074" w:type="dxa"/>
          </w:tcPr>
          <w:p w14:paraId="32094DB5" w14:textId="77777777" w:rsidR="00397BAD" w:rsidRDefault="00397BAD" w:rsidP="00397BAD">
            <w:pPr>
              <w:rPr>
                <w:rFonts w:cs="Arial"/>
              </w:rPr>
            </w:pPr>
            <w:r w:rsidRPr="00397BAD">
              <w:rPr>
                <w:rFonts w:cs="Arial"/>
              </w:rPr>
              <w:t>Missing files impacted performance across a number of public-facing Council services although in most cases manual workarounds were applied to prevent serious disruption to service.</w:t>
            </w:r>
          </w:p>
          <w:p w14:paraId="29F6E1A9" w14:textId="77777777" w:rsidR="00965548" w:rsidRPr="00397BAD" w:rsidRDefault="00965548" w:rsidP="00397BAD">
            <w:pPr>
              <w:rPr>
                <w:rFonts w:cs="Arial"/>
              </w:rPr>
            </w:pPr>
          </w:p>
        </w:tc>
        <w:tc>
          <w:tcPr>
            <w:tcW w:w="4021" w:type="dxa"/>
          </w:tcPr>
          <w:p w14:paraId="7F3BE01D" w14:textId="77777777" w:rsidR="00397BAD" w:rsidRPr="00397BAD" w:rsidRDefault="00397BAD" w:rsidP="00560B29">
            <w:pPr>
              <w:rPr>
                <w:rFonts w:cs="Arial"/>
              </w:rPr>
            </w:pPr>
            <w:r w:rsidRPr="00397BAD">
              <w:rPr>
                <w:rFonts w:cs="Arial"/>
              </w:rPr>
              <w:t xml:space="preserve">Improved documentation of the City estate and more robust Disaster Recovery arrangements with the new IT partner. See </w:t>
            </w:r>
            <w:r w:rsidR="00560B29">
              <w:rPr>
                <w:rFonts w:cs="Arial"/>
              </w:rPr>
              <w:t>6</w:t>
            </w:r>
            <w:r w:rsidRPr="00397BAD">
              <w:rPr>
                <w:rFonts w:cs="Arial"/>
              </w:rPr>
              <w:t>.2 above.</w:t>
            </w:r>
          </w:p>
        </w:tc>
      </w:tr>
      <w:tr w:rsidR="00397BAD" w:rsidRPr="00397BAD" w14:paraId="66D92A9F" w14:textId="77777777" w:rsidTr="00965548">
        <w:tc>
          <w:tcPr>
            <w:tcW w:w="2419" w:type="dxa"/>
          </w:tcPr>
          <w:p w14:paraId="3F6FEAD2" w14:textId="77777777" w:rsidR="00397BAD" w:rsidRPr="00397BAD" w:rsidRDefault="004A0A55" w:rsidP="00397BAD">
            <w:pPr>
              <w:rPr>
                <w:rFonts w:cs="Arial"/>
              </w:rPr>
            </w:pPr>
            <w:r>
              <w:rPr>
                <w:rFonts w:cs="Arial"/>
                <w:bCs/>
              </w:rPr>
              <w:t xml:space="preserve">7.2 </w:t>
            </w:r>
            <w:r w:rsidR="00397BAD" w:rsidRPr="00397BAD">
              <w:rPr>
                <w:rFonts w:cs="Arial"/>
                <w:bCs/>
              </w:rPr>
              <w:t>MS Exchange group emails did not transfer to Exchange 2010 including key public facing email accounts. </w:t>
            </w:r>
            <w:r w:rsidR="00397BAD" w:rsidRPr="00397BAD">
              <w:rPr>
                <w:rFonts w:cs="Arial"/>
              </w:rPr>
              <w:t> </w:t>
            </w:r>
          </w:p>
          <w:p w14:paraId="43904345" w14:textId="77777777" w:rsidR="00397BAD" w:rsidRPr="00397BAD" w:rsidRDefault="00397BAD" w:rsidP="00397BAD">
            <w:pPr>
              <w:rPr>
                <w:rFonts w:cs="Arial"/>
              </w:rPr>
            </w:pPr>
          </w:p>
        </w:tc>
        <w:tc>
          <w:tcPr>
            <w:tcW w:w="3074" w:type="dxa"/>
          </w:tcPr>
          <w:p w14:paraId="107184C3" w14:textId="77777777" w:rsidR="00397BAD" w:rsidRPr="00397BAD" w:rsidRDefault="00397BAD" w:rsidP="00397BAD">
            <w:pPr>
              <w:rPr>
                <w:rFonts w:cs="Arial"/>
              </w:rPr>
            </w:pPr>
            <w:r w:rsidRPr="00397BAD">
              <w:rPr>
                <w:rFonts w:cs="Arial"/>
              </w:rPr>
              <w:t>Loss of service to public email accounts for 4 days when public could not email a group service e.g. Building Control, Scrutiny, Planning.</w:t>
            </w:r>
          </w:p>
        </w:tc>
        <w:tc>
          <w:tcPr>
            <w:tcW w:w="4021" w:type="dxa"/>
          </w:tcPr>
          <w:p w14:paraId="6DFEE662" w14:textId="77777777" w:rsidR="00397BAD" w:rsidRPr="00397BAD" w:rsidRDefault="00397BAD" w:rsidP="00965548">
            <w:pPr>
              <w:rPr>
                <w:rFonts w:cs="Arial"/>
              </w:rPr>
            </w:pPr>
            <w:r w:rsidRPr="00397BAD">
              <w:rPr>
                <w:rFonts w:cs="Arial"/>
              </w:rPr>
              <w:t xml:space="preserve">As </w:t>
            </w:r>
            <w:r w:rsidR="00965548">
              <w:rPr>
                <w:rFonts w:cs="Arial"/>
              </w:rPr>
              <w:t>7</w:t>
            </w:r>
            <w:r w:rsidRPr="00397BAD">
              <w:rPr>
                <w:rFonts w:cs="Arial"/>
              </w:rPr>
              <w:t xml:space="preserve">.1 above, improved documentation of the City Estate – see also Appendix A: ICT Improvement Plan ‘Tools’ </w:t>
            </w:r>
            <w:proofErr w:type="spellStart"/>
            <w:r w:rsidRPr="00397BAD">
              <w:rPr>
                <w:rFonts w:cs="Arial"/>
              </w:rPr>
              <w:t>workstream</w:t>
            </w:r>
            <w:proofErr w:type="spellEnd"/>
            <w:r w:rsidRPr="00397BAD">
              <w:rPr>
                <w:rFonts w:cs="Arial"/>
              </w:rPr>
              <w:t>.</w:t>
            </w:r>
          </w:p>
        </w:tc>
      </w:tr>
    </w:tbl>
    <w:p w14:paraId="3444FAB1" w14:textId="77777777" w:rsidR="00397BAD" w:rsidRPr="0086277C" w:rsidRDefault="00397BAD" w:rsidP="0086277C">
      <w:pPr>
        <w:rPr>
          <w:rFonts w:cs="Arial"/>
        </w:rPr>
      </w:pPr>
    </w:p>
    <w:p w14:paraId="5552257A" w14:textId="7A97E66C" w:rsidR="00397BAD" w:rsidRDefault="00194F1C" w:rsidP="00397BAD">
      <w:r>
        <w:t xml:space="preserve">This needs to be put in the context of the </w:t>
      </w:r>
      <w:r w:rsidR="00397BAD" w:rsidRPr="00397BAD">
        <w:t xml:space="preserve">two complete ICT outages in the period prior to the migration due to a bug in the County’s network storage system that </w:t>
      </w:r>
      <w:r>
        <w:t>had a very big</w:t>
      </w:r>
      <w:r w:rsidRPr="00397BAD">
        <w:t xml:space="preserve"> impact</w:t>
      </w:r>
      <w:r>
        <w:t xml:space="preserve"> on</w:t>
      </w:r>
      <w:r w:rsidRPr="00397BAD">
        <w:t xml:space="preserve"> </w:t>
      </w:r>
      <w:r w:rsidR="00397BAD" w:rsidRPr="00397BAD">
        <w:t>front line services</w:t>
      </w:r>
      <w:r>
        <w:t xml:space="preserve"> and in the absence of good communication from the </w:t>
      </w:r>
      <w:r>
        <w:lastRenderedPageBreak/>
        <w:t>provider of services meant communication to service users and the public was limited</w:t>
      </w:r>
      <w:r w:rsidR="00397BAD" w:rsidRPr="00397BAD">
        <w:t>.</w:t>
      </w:r>
      <w:r>
        <w:t xml:space="preserve"> The City Council was able to learn from these experiences to improve communication with its in-house and public users.</w:t>
      </w:r>
    </w:p>
    <w:p w14:paraId="52C2979E" w14:textId="77777777" w:rsidR="00834B54" w:rsidRDefault="00834B54" w:rsidP="00397BAD"/>
    <w:p w14:paraId="0E3F640A" w14:textId="77777777" w:rsidR="00397BAD" w:rsidRPr="00965548" w:rsidRDefault="00397BAD" w:rsidP="00397BAD">
      <w:pPr>
        <w:pStyle w:val="ListParagraph"/>
        <w:rPr>
          <w:b/>
        </w:rPr>
      </w:pPr>
      <w:r w:rsidRPr="00965548">
        <w:rPr>
          <w:b/>
        </w:rPr>
        <w:t>Relationship Management</w:t>
      </w:r>
    </w:p>
    <w:p w14:paraId="30ED8CBB" w14:textId="77777777" w:rsidR="00397BAD" w:rsidRDefault="00397BAD" w:rsidP="00397BAD">
      <w:r w:rsidRPr="00397BAD">
        <w:t>Relationships between City, County and SCC were strained at various stages during the project, largely attributable to expectations regarding roles and responsibilities.  However good communications were maintained by a number of individuals across all three organisations and the addition of extra project resource from the County was a key turning point in the project. Relationship management</w:t>
      </w:r>
      <w:r w:rsidR="00194F1C">
        <w:t xml:space="preserve"> with SCC</w:t>
      </w:r>
      <w:r w:rsidRPr="00397BAD">
        <w:t xml:space="preserve"> going forward has been established on a more formal basis with clear performance schedules regularly monitored at monthly review meetings, as well as informal daily and weekly contact as required.</w:t>
      </w:r>
    </w:p>
    <w:p w14:paraId="243CA525" w14:textId="77777777" w:rsidR="00CD324E" w:rsidRPr="00397BAD" w:rsidRDefault="00CD324E" w:rsidP="00397BAD"/>
    <w:tbl>
      <w:tblPr>
        <w:tblStyle w:val="TableGrid"/>
        <w:tblW w:w="0" w:type="auto"/>
        <w:tblLook w:val="04A0" w:firstRow="1" w:lastRow="0" w:firstColumn="1" w:lastColumn="0" w:noHBand="0" w:noVBand="1"/>
      </w:tblPr>
      <w:tblGrid>
        <w:gridCol w:w="2397"/>
        <w:gridCol w:w="3076"/>
        <w:gridCol w:w="4041"/>
      </w:tblGrid>
      <w:tr w:rsidR="00CD324E" w:rsidRPr="00CD324E" w14:paraId="3F78340F" w14:textId="77777777" w:rsidTr="00AC2283">
        <w:tc>
          <w:tcPr>
            <w:tcW w:w="3114" w:type="dxa"/>
          </w:tcPr>
          <w:p w14:paraId="459853A8" w14:textId="77777777" w:rsidR="00CD324E" w:rsidRPr="00CD324E" w:rsidRDefault="00CD324E" w:rsidP="00CD324E">
            <w:pPr>
              <w:rPr>
                <w:b/>
              </w:rPr>
            </w:pPr>
            <w:r w:rsidRPr="00CD324E">
              <w:rPr>
                <w:b/>
              </w:rPr>
              <w:t>Issue</w:t>
            </w:r>
          </w:p>
        </w:tc>
        <w:tc>
          <w:tcPr>
            <w:tcW w:w="5245" w:type="dxa"/>
          </w:tcPr>
          <w:p w14:paraId="7FCE3E5A" w14:textId="77777777" w:rsidR="00CD324E" w:rsidRPr="00CD324E" w:rsidRDefault="00CD324E" w:rsidP="00CD324E">
            <w:pPr>
              <w:rPr>
                <w:b/>
              </w:rPr>
            </w:pPr>
            <w:r w:rsidRPr="00CD324E">
              <w:rPr>
                <w:b/>
              </w:rPr>
              <w:t>Impact</w:t>
            </w:r>
          </w:p>
        </w:tc>
        <w:tc>
          <w:tcPr>
            <w:tcW w:w="7029" w:type="dxa"/>
          </w:tcPr>
          <w:p w14:paraId="263AF93C" w14:textId="77777777" w:rsidR="00CD324E" w:rsidRPr="00CD324E" w:rsidRDefault="00CD324E" w:rsidP="00CD324E">
            <w:pPr>
              <w:rPr>
                <w:b/>
              </w:rPr>
            </w:pPr>
            <w:r w:rsidRPr="00CD324E">
              <w:rPr>
                <w:b/>
              </w:rPr>
              <w:t>Resolution</w:t>
            </w:r>
          </w:p>
        </w:tc>
      </w:tr>
      <w:tr w:rsidR="00CD324E" w:rsidRPr="00CD324E" w14:paraId="082C8F3F" w14:textId="77777777" w:rsidTr="00AC2283">
        <w:tc>
          <w:tcPr>
            <w:tcW w:w="3114" w:type="dxa"/>
          </w:tcPr>
          <w:p w14:paraId="0172054F" w14:textId="77777777" w:rsidR="00CD324E" w:rsidRPr="00CD324E" w:rsidRDefault="004A0A55" w:rsidP="00CD324E">
            <w:r>
              <w:t xml:space="preserve">8.1 </w:t>
            </w:r>
            <w:r w:rsidR="00CD324E" w:rsidRPr="00CD324E">
              <w:t>County undertook to resolve the pre-requisites regarding the separation of the Active Directory but when the costs increased more than anticipated, the County queried responsibilities.</w:t>
            </w:r>
          </w:p>
        </w:tc>
        <w:tc>
          <w:tcPr>
            <w:tcW w:w="5245" w:type="dxa"/>
          </w:tcPr>
          <w:p w14:paraId="0E4263B8" w14:textId="77777777" w:rsidR="00CD324E" w:rsidRPr="00CD324E" w:rsidRDefault="00CD324E" w:rsidP="00CD324E">
            <w:r w:rsidRPr="00CD324E">
              <w:t>Damage to the relationship between County, City and SCC and delays to the project as project resource was diverted from other tasks.</w:t>
            </w:r>
          </w:p>
        </w:tc>
        <w:tc>
          <w:tcPr>
            <w:tcW w:w="7029" w:type="dxa"/>
          </w:tcPr>
          <w:p w14:paraId="23F85048" w14:textId="77777777" w:rsidR="00CD324E" w:rsidRPr="00CD324E" w:rsidRDefault="00CD324E" w:rsidP="00CD324E">
            <w:r w:rsidRPr="00CD324E">
              <w:t xml:space="preserve">A PID setting out roles and responsibilities and signed off by all partners should be in place for all significant projects. Project management principles have now been reinforced across the ICT Service and additional project management training is scheduled for October 2016 </w:t>
            </w:r>
            <w:r w:rsidRPr="004A0A55">
              <w:t xml:space="preserve">(see </w:t>
            </w:r>
            <w:r w:rsidR="004A0A55" w:rsidRPr="004A0A55">
              <w:t>6</w:t>
            </w:r>
            <w:r w:rsidRPr="004A0A55">
              <w:t>.1 above).</w:t>
            </w:r>
          </w:p>
        </w:tc>
      </w:tr>
      <w:tr w:rsidR="00CD324E" w:rsidRPr="00CD324E" w14:paraId="7D723459" w14:textId="77777777" w:rsidTr="00AC2283">
        <w:tc>
          <w:tcPr>
            <w:tcW w:w="3114" w:type="dxa"/>
          </w:tcPr>
          <w:p w14:paraId="30801EBF" w14:textId="77777777" w:rsidR="00CD324E" w:rsidRPr="00CD324E" w:rsidRDefault="004A0A55" w:rsidP="00CD324E">
            <w:r>
              <w:t xml:space="preserve">8.2 </w:t>
            </w:r>
            <w:r w:rsidR="00CD324E" w:rsidRPr="00CD324E">
              <w:t>City expected that SCC would work directly with Vodafone but that was not the case.</w:t>
            </w:r>
          </w:p>
        </w:tc>
        <w:tc>
          <w:tcPr>
            <w:tcW w:w="5245" w:type="dxa"/>
          </w:tcPr>
          <w:p w14:paraId="3E283FB8" w14:textId="77777777" w:rsidR="00CD324E" w:rsidRPr="00CD324E" w:rsidRDefault="00CD324E" w:rsidP="00CD324E">
            <w:r w:rsidRPr="00CD324E">
              <w:t>Project resource was diverted to a task that had not been anticipated and created delays elsewhere.</w:t>
            </w:r>
          </w:p>
        </w:tc>
        <w:tc>
          <w:tcPr>
            <w:tcW w:w="7029" w:type="dxa"/>
          </w:tcPr>
          <w:p w14:paraId="29214C20" w14:textId="77777777" w:rsidR="00CD324E" w:rsidRPr="00CD324E" w:rsidRDefault="00CD324E" w:rsidP="004A0A55">
            <w:r w:rsidRPr="004A0A55">
              <w:t xml:space="preserve">See </w:t>
            </w:r>
            <w:r w:rsidR="004A0A55" w:rsidRPr="004A0A55">
              <w:t>8</w:t>
            </w:r>
            <w:r w:rsidRPr="004A0A55">
              <w:t>.1 above</w:t>
            </w:r>
          </w:p>
        </w:tc>
      </w:tr>
      <w:tr w:rsidR="00CD324E" w:rsidRPr="00CD324E" w14:paraId="7BA5D250" w14:textId="77777777" w:rsidTr="00AC2283">
        <w:tc>
          <w:tcPr>
            <w:tcW w:w="3114" w:type="dxa"/>
          </w:tcPr>
          <w:p w14:paraId="214F3A89" w14:textId="306FC262" w:rsidR="00CD324E" w:rsidRPr="00CD324E" w:rsidRDefault="004A0A55" w:rsidP="00194F1C">
            <w:r>
              <w:t xml:space="preserve">8.3 </w:t>
            </w:r>
            <w:r w:rsidR="00CD324E" w:rsidRPr="00CD324E">
              <w:t xml:space="preserve">Relationship between City and SCC was </w:t>
            </w:r>
            <w:r w:rsidR="00194F1C">
              <w:t>not as good as it should have been</w:t>
            </w:r>
            <w:r w:rsidR="00194F1C" w:rsidRPr="00CD324E">
              <w:t xml:space="preserve"> </w:t>
            </w:r>
            <w:r w:rsidR="00CD324E" w:rsidRPr="00CD324E">
              <w:t>at point of migration when SCC moved to BAU ahead of the expected schedule.</w:t>
            </w:r>
          </w:p>
        </w:tc>
        <w:tc>
          <w:tcPr>
            <w:tcW w:w="5245" w:type="dxa"/>
          </w:tcPr>
          <w:p w14:paraId="77856B83" w14:textId="77777777" w:rsidR="00CD324E" w:rsidRPr="00CD324E" w:rsidRDefault="00CD324E" w:rsidP="00CD324E">
            <w:r w:rsidRPr="00CD324E">
              <w:t>Issues arising as a result of the migration were not treated with the appropriate level of urgency as SCC invoked the standard terms of the SLA.</w:t>
            </w:r>
          </w:p>
        </w:tc>
        <w:tc>
          <w:tcPr>
            <w:tcW w:w="7029" w:type="dxa"/>
          </w:tcPr>
          <w:p w14:paraId="547A874F" w14:textId="77777777" w:rsidR="00CD324E" w:rsidRPr="00CD324E" w:rsidRDefault="00CD324E" w:rsidP="00CD324E">
            <w:r w:rsidRPr="004A0A55">
              <w:t xml:space="preserve">See </w:t>
            </w:r>
            <w:r w:rsidR="004A0A55" w:rsidRPr="004A0A55">
              <w:t>6</w:t>
            </w:r>
            <w:r w:rsidRPr="004A0A55">
              <w:t>.4 above</w:t>
            </w:r>
          </w:p>
        </w:tc>
      </w:tr>
    </w:tbl>
    <w:p w14:paraId="2382477E" w14:textId="77777777" w:rsidR="00397BAD" w:rsidRDefault="00397BAD" w:rsidP="00397BAD"/>
    <w:p w14:paraId="57FD6D23" w14:textId="4A80FAE6" w:rsidR="00910DCB" w:rsidRPr="004A0A55" w:rsidRDefault="00910DCB" w:rsidP="00910DCB">
      <w:pPr>
        <w:pStyle w:val="ListParagraph"/>
        <w:rPr>
          <w:b/>
        </w:rPr>
      </w:pPr>
      <w:r w:rsidRPr="004A0A55">
        <w:rPr>
          <w:b/>
        </w:rPr>
        <w:t xml:space="preserve">Impact on </w:t>
      </w:r>
      <w:r w:rsidR="00194F1C">
        <w:rPr>
          <w:b/>
        </w:rPr>
        <w:t>c</w:t>
      </w:r>
      <w:r w:rsidR="00194F1C" w:rsidRPr="004A0A55">
        <w:rPr>
          <w:b/>
        </w:rPr>
        <w:t>ouncillors</w:t>
      </w:r>
    </w:p>
    <w:p w14:paraId="3050B2AE" w14:textId="512A744B" w:rsidR="00910DCB" w:rsidRDefault="00910DCB" w:rsidP="00910DCB">
      <w:r w:rsidRPr="00910DCB">
        <w:t xml:space="preserve">A key factor on </w:t>
      </w:r>
      <w:r w:rsidR="00194F1C">
        <w:t>c</w:t>
      </w:r>
      <w:r w:rsidR="00194F1C" w:rsidRPr="00910DCB">
        <w:t>ouncillors</w:t>
      </w:r>
      <w:r w:rsidR="00194F1C">
        <w:t>’</w:t>
      </w:r>
      <w:r w:rsidR="00194F1C" w:rsidRPr="00910DCB">
        <w:t xml:space="preserve"> </w:t>
      </w:r>
      <w:r w:rsidRPr="00910DCB">
        <w:t xml:space="preserve">access post-migration was the deployment of </w:t>
      </w:r>
      <w:proofErr w:type="spellStart"/>
      <w:r w:rsidRPr="00910DCB">
        <w:t>Airwatch</w:t>
      </w:r>
      <w:proofErr w:type="spellEnd"/>
      <w:r w:rsidRPr="00910DCB">
        <w:t xml:space="preserve"> </w:t>
      </w:r>
      <w:r w:rsidR="0010279A">
        <w:t xml:space="preserve">on iPads </w:t>
      </w:r>
      <w:r w:rsidRPr="00910DCB">
        <w:t>to replace Good</w:t>
      </w:r>
      <w:r w:rsidR="00194F1C">
        <w:t>, as Good</w:t>
      </w:r>
      <w:r w:rsidRPr="00910DCB">
        <w:t xml:space="preserve"> was no longer supported and was hosted on a Windows 2003 server (also out of support).  </w:t>
      </w:r>
      <w:proofErr w:type="spellStart"/>
      <w:r w:rsidRPr="00910DCB">
        <w:t>Airwatch</w:t>
      </w:r>
      <w:proofErr w:type="spellEnd"/>
      <w:r w:rsidRPr="00910DCB">
        <w:t xml:space="preserve"> had been selected as a replacement as a recognised market leader in Mobile Device Management software </w:t>
      </w:r>
      <w:r w:rsidRPr="00910DCB">
        <w:lastRenderedPageBreak/>
        <w:t xml:space="preserve">and is PSN compliant.  The issue did not affect all </w:t>
      </w:r>
      <w:r w:rsidR="00194F1C">
        <w:t>c</w:t>
      </w:r>
      <w:r w:rsidR="00194F1C" w:rsidRPr="00910DCB">
        <w:t xml:space="preserve">ouncillors </w:t>
      </w:r>
      <w:r w:rsidRPr="00910DCB">
        <w:t>and all were contacted individually to try and resolve the problems with access – Citrix was available as an alternative solution.  Outlook has subsequently been identified as the preferred solution and has been rolled out.</w:t>
      </w:r>
    </w:p>
    <w:p w14:paraId="0D57FFBB" w14:textId="77777777" w:rsidR="00834B54" w:rsidRPr="00910DCB" w:rsidRDefault="00834B54" w:rsidP="00910DCB"/>
    <w:tbl>
      <w:tblPr>
        <w:tblStyle w:val="TableGrid"/>
        <w:tblW w:w="0" w:type="auto"/>
        <w:tblLook w:val="04A0" w:firstRow="1" w:lastRow="0" w:firstColumn="1" w:lastColumn="0" w:noHBand="0" w:noVBand="1"/>
      </w:tblPr>
      <w:tblGrid>
        <w:gridCol w:w="3151"/>
        <w:gridCol w:w="3100"/>
        <w:gridCol w:w="3263"/>
      </w:tblGrid>
      <w:tr w:rsidR="00910DCB" w:rsidRPr="00910DCB" w14:paraId="10F5016F" w14:textId="77777777" w:rsidTr="00AC2283">
        <w:tc>
          <w:tcPr>
            <w:tcW w:w="5204" w:type="dxa"/>
          </w:tcPr>
          <w:p w14:paraId="03FA566B" w14:textId="77777777" w:rsidR="00910DCB" w:rsidRPr="00910DCB" w:rsidRDefault="00910DCB" w:rsidP="00910DCB">
            <w:pPr>
              <w:rPr>
                <w:b/>
              </w:rPr>
            </w:pPr>
            <w:r w:rsidRPr="00910DCB">
              <w:rPr>
                <w:b/>
              </w:rPr>
              <w:t>Issue</w:t>
            </w:r>
          </w:p>
        </w:tc>
        <w:tc>
          <w:tcPr>
            <w:tcW w:w="5205" w:type="dxa"/>
          </w:tcPr>
          <w:p w14:paraId="35D2042A" w14:textId="77777777" w:rsidR="00910DCB" w:rsidRPr="00910DCB" w:rsidRDefault="00910DCB" w:rsidP="00910DCB">
            <w:pPr>
              <w:rPr>
                <w:b/>
              </w:rPr>
            </w:pPr>
            <w:r w:rsidRPr="00910DCB">
              <w:rPr>
                <w:b/>
              </w:rPr>
              <w:t>Impact</w:t>
            </w:r>
          </w:p>
        </w:tc>
        <w:tc>
          <w:tcPr>
            <w:tcW w:w="5205" w:type="dxa"/>
          </w:tcPr>
          <w:p w14:paraId="54F68910" w14:textId="77777777" w:rsidR="00910DCB" w:rsidRPr="00910DCB" w:rsidRDefault="00910DCB" w:rsidP="00910DCB">
            <w:pPr>
              <w:rPr>
                <w:b/>
              </w:rPr>
            </w:pPr>
            <w:r w:rsidRPr="00910DCB">
              <w:rPr>
                <w:b/>
              </w:rPr>
              <w:t>Future Action</w:t>
            </w:r>
          </w:p>
        </w:tc>
      </w:tr>
      <w:tr w:rsidR="00910DCB" w:rsidRPr="00910DCB" w14:paraId="00981F2D" w14:textId="77777777" w:rsidTr="00AC2283">
        <w:tc>
          <w:tcPr>
            <w:tcW w:w="5204" w:type="dxa"/>
          </w:tcPr>
          <w:p w14:paraId="2244B1E7" w14:textId="64BC3DEE" w:rsidR="00910DCB" w:rsidRPr="00910DCB" w:rsidRDefault="004A0A55" w:rsidP="0010279A">
            <w:r>
              <w:t xml:space="preserve">9.1 </w:t>
            </w:r>
            <w:r w:rsidR="00910DCB" w:rsidRPr="00910DCB">
              <w:t xml:space="preserve">Although </w:t>
            </w:r>
            <w:proofErr w:type="spellStart"/>
            <w:r w:rsidR="00910DCB" w:rsidRPr="00910DCB">
              <w:t>Airwatch</w:t>
            </w:r>
            <w:proofErr w:type="spellEnd"/>
            <w:r w:rsidR="00910DCB" w:rsidRPr="00910DCB">
              <w:t xml:space="preserve"> works well on the majority of mobile devices</w:t>
            </w:r>
            <w:r w:rsidR="00237F0C">
              <w:t xml:space="preserve"> including more than 500 users who successfully access emails via the new mobile phones</w:t>
            </w:r>
            <w:r w:rsidR="00910DCB" w:rsidRPr="00910DCB">
              <w:t>, it is not compatible with all versions of IOS on iPads</w:t>
            </w:r>
            <w:r w:rsidR="00237F0C">
              <w:t>.</w:t>
            </w:r>
          </w:p>
        </w:tc>
        <w:tc>
          <w:tcPr>
            <w:tcW w:w="5205" w:type="dxa"/>
          </w:tcPr>
          <w:p w14:paraId="4069B5B2" w14:textId="77777777" w:rsidR="00910DCB" w:rsidRPr="00910DCB" w:rsidRDefault="00910DCB" w:rsidP="00910DCB">
            <w:r w:rsidRPr="00910DCB">
              <w:t xml:space="preserve">Intermittent ‘hanging’ of the </w:t>
            </w:r>
            <w:proofErr w:type="spellStart"/>
            <w:r w:rsidRPr="00910DCB">
              <w:t>Airwatch</w:t>
            </w:r>
            <w:proofErr w:type="spellEnd"/>
            <w:r w:rsidRPr="00910DCB">
              <w:t xml:space="preserve"> inbox which doesn’t update email for hours/days at a time potentially leaving users without email access if reliant on the iPad.</w:t>
            </w:r>
          </w:p>
        </w:tc>
        <w:tc>
          <w:tcPr>
            <w:tcW w:w="5205" w:type="dxa"/>
          </w:tcPr>
          <w:p w14:paraId="326C5225" w14:textId="4BAF9CAC" w:rsidR="00910DCB" w:rsidRPr="00910DCB" w:rsidRDefault="00910DCB" w:rsidP="00194F1C">
            <w:r w:rsidRPr="00910DCB">
              <w:t xml:space="preserve">Outlook does work well on iPads and has now been </w:t>
            </w:r>
            <w:r w:rsidR="00194F1C">
              <w:t xml:space="preserve">offered to all councillors and </w:t>
            </w:r>
            <w:r w:rsidRPr="00910DCB">
              <w:t xml:space="preserve">rolled out to most </w:t>
            </w:r>
            <w:r w:rsidR="00194F1C">
              <w:t>c</w:t>
            </w:r>
            <w:r w:rsidRPr="00910DCB">
              <w:t xml:space="preserve">ouncillors. A Members </w:t>
            </w:r>
            <w:r w:rsidR="00194F1C">
              <w:t>R</w:t>
            </w:r>
            <w:r w:rsidR="00194F1C" w:rsidRPr="00910DCB">
              <w:t xml:space="preserve">eference </w:t>
            </w:r>
            <w:r w:rsidR="00194F1C">
              <w:t>G</w:t>
            </w:r>
            <w:r w:rsidR="00194F1C" w:rsidRPr="00910DCB">
              <w:t xml:space="preserve">roup </w:t>
            </w:r>
            <w:r w:rsidRPr="00910DCB">
              <w:t>was established in July to trial new developments and equipment and serve as an informed user group for the ICT service.</w:t>
            </w:r>
          </w:p>
        </w:tc>
      </w:tr>
    </w:tbl>
    <w:p w14:paraId="66F0AAA2" w14:textId="77777777" w:rsidR="00910DCB" w:rsidRDefault="00910DCB" w:rsidP="00397BAD"/>
    <w:p w14:paraId="39CEE5EA" w14:textId="77777777" w:rsidR="00190F39" w:rsidRPr="00F4623A" w:rsidRDefault="00190F39" w:rsidP="00F4623A">
      <w:pPr>
        <w:pStyle w:val="ListParagraph"/>
      </w:pPr>
      <w:r>
        <w:rPr>
          <w:b/>
        </w:rPr>
        <w:t>Current Situation</w:t>
      </w:r>
    </w:p>
    <w:p w14:paraId="14797ABD" w14:textId="77777777" w:rsidR="0010279A" w:rsidRDefault="00190F39" w:rsidP="00F4623A">
      <w:r w:rsidRPr="00910DCB">
        <w:t xml:space="preserve">The ICT Service has developed a detailed Improvement Plan (summary at Appendix A) that has been informed by the in-house Lessons Learnt review, the SCC Lessons Learnt Report, the recent SOCITM review of the ICT Service Desk and the internal audit of the ICT Transition Project. </w:t>
      </w:r>
    </w:p>
    <w:p w14:paraId="515717E0" w14:textId="697F8373" w:rsidR="00190F39" w:rsidRPr="00910DCB" w:rsidRDefault="00190F39" w:rsidP="00F4623A">
      <w:r w:rsidRPr="00910DCB">
        <w:t xml:space="preserve">The Improvement Plan is organised into </w:t>
      </w:r>
      <w:r w:rsidR="00194F1C">
        <w:t>five</w:t>
      </w:r>
      <w:r w:rsidR="00194F1C" w:rsidRPr="00910DCB">
        <w:t xml:space="preserve"> </w:t>
      </w:r>
      <w:r w:rsidRPr="00910DCB">
        <w:t xml:space="preserve">themes: Skills (Technical and Customer Services); Resources; Tools; Processes; and Communications with a lead officer assigned to each theme. </w:t>
      </w:r>
      <w:r w:rsidR="0010279A">
        <w:t xml:space="preserve">The Customer Services </w:t>
      </w:r>
      <w:proofErr w:type="spellStart"/>
      <w:r w:rsidR="0010279A">
        <w:t>workstream</w:t>
      </w:r>
      <w:proofErr w:type="spellEnd"/>
      <w:r w:rsidR="0010279A">
        <w:t xml:space="preserve"> has been designed to bring about the cultural shift required to deliver a best practice, customer-focused service desk function through formal training sessions and adoption of the tools and techniques utilised by the Contact Centre when training Customer Services Officers.</w:t>
      </w:r>
    </w:p>
    <w:p w14:paraId="153BCC5C" w14:textId="77777777" w:rsidR="00190F39" w:rsidRPr="00910DCB" w:rsidRDefault="00190F39" w:rsidP="00F4623A">
      <w:r w:rsidRPr="00910DCB">
        <w:t>The Plan has been shared with the ICT Service and feedback invited. The response from the ICT team has been very positive and there is a strong commitment to making the improvements – working groups are now being established to deliver key actions.</w:t>
      </w:r>
    </w:p>
    <w:p w14:paraId="321BB30C" w14:textId="77777777" w:rsidR="00190F39" w:rsidRDefault="00190F39" w:rsidP="00F4623A">
      <w:r w:rsidRPr="00910DCB">
        <w:t>Progress on the plan is being reviewed on a weekly basis by the ICT management team and, alongside the ICT Work Plan, forms the key driver for the ICT Service.</w:t>
      </w:r>
    </w:p>
    <w:p w14:paraId="5BE2C2F2" w14:textId="77777777" w:rsidR="0010279A" w:rsidRPr="00910DCB" w:rsidRDefault="0010279A" w:rsidP="00F4623A"/>
    <w:p w14:paraId="6BB0B417" w14:textId="58E15A36" w:rsidR="004A0A55" w:rsidRPr="004A0A55" w:rsidRDefault="00155631" w:rsidP="004A0A55">
      <w:pPr>
        <w:pStyle w:val="ListParagraph"/>
        <w:rPr>
          <w:b/>
        </w:rPr>
      </w:pPr>
      <w:r>
        <w:rPr>
          <w:b/>
        </w:rPr>
        <w:t xml:space="preserve">Relevant Costs and Savings </w:t>
      </w:r>
    </w:p>
    <w:p w14:paraId="74F9C34C" w14:textId="77777777" w:rsidR="00190F39" w:rsidRPr="007E59D7" w:rsidRDefault="00190F39" w:rsidP="00F4623A">
      <w:pPr>
        <w:rPr>
          <w:rFonts w:eastAsia="Calibri"/>
          <w:b/>
          <w:lang w:eastAsia="en-US"/>
        </w:rPr>
      </w:pPr>
      <w:r w:rsidRPr="007E59D7">
        <w:rPr>
          <w:rFonts w:eastAsia="Calibri"/>
          <w:b/>
          <w:lang w:eastAsia="en-US"/>
        </w:rPr>
        <w:t>11.1</w:t>
      </w:r>
      <w:r w:rsidRPr="007E59D7">
        <w:rPr>
          <w:rFonts w:eastAsia="Calibri"/>
          <w:b/>
          <w:lang w:eastAsia="en-US"/>
        </w:rPr>
        <w:tab/>
        <w:t>Revenue Costs</w:t>
      </w:r>
    </w:p>
    <w:p w14:paraId="2CC63F02" w14:textId="77777777" w:rsidR="008E4D82" w:rsidRDefault="008E4D82" w:rsidP="00F4623A">
      <w:pPr>
        <w:rPr>
          <w:rFonts w:eastAsia="Calibri"/>
          <w:lang w:eastAsia="en-US"/>
        </w:rPr>
      </w:pPr>
      <w:r>
        <w:rPr>
          <w:rFonts w:eastAsia="Calibri"/>
          <w:lang w:eastAsia="en-US"/>
        </w:rPr>
        <w:t xml:space="preserve">The </w:t>
      </w:r>
      <w:r w:rsidR="00190F39">
        <w:rPr>
          <w:rFonts w:eastAsia="Calibri"/>
          <w:lang w:eastAsia="en-US"/>
        </w:rPr>
        <w:t xml:space="preserve">annual </w:t>
      </w:r>
      <w:proofErr w:type="gramStart"/>
      <w:r>
        <w:rPr>
          <w:rFonts w:eastAsia="Calibri"/>
          <w:lang w:eastAsia="en-US"/>
        </w:rPr>
        <w:t>costs for the replacement services breaks</w:t>
      </w:r>
      <w:proofErr w:type="gramEnd"/>
      <w:r>
        <w:rPr>
          <w:rFonts w:eastAsia="Calibri"/>
          <w:lang w:eastAsia="en-US"/>
        </w:rPr>
        <w:t xml:space="preserve"> down as follows:</w:t>
      </w:r>
    </w:p>
    <w:tbl>
      <w:tblPr>
        <w:tblStyle w:val="TableGrid"/>
        <w:tblW w:w="0" w:type="auto"/>
        <w:tblLook w:val="04A0" w:firstRow="1" w:lastRow="0" w:firstColumn="1" w:lastColumn="0" w:noHBand="0" w:noVBand="1"/>
      </w:tblPr>
      <w:tblGrid>
        <w:gridCol w:w="2378"/>
        <w:gridCol w:w="4818"/>
        <w:gridCol w:w="2126"/>
      </w:tblGrid>
      <w:tr w:rsidR="008E4D82" w14:paraId="0A70A1B3" w14:textId="77777777" w:rsidTr="007E59D7">
        <w:tc>
          <w:tcPr>
            <w:tcW w:w="2378" w:type="dxa"/>
            <w:shd w:val="clear" w:color="auto" w:fill="BFBFBF" w:themeFill="background1" w:themeFillShade="BF"/>
          </w:tcPr>
          <w:p w14:paraId="4C6C0811" w14:textId="77777777" w:rsidR="008E4D82" w:rsidRPr="007E59D7" w:rsidRDefault="008E4D82" w:rsidP="0000196E">
            <w:pPr>
              <w:spacing w:after="160" w:line="259" w:lineRule="auto"/>
              <w:rPr>
                <w:rFonts w:eastAsia="Calibri" w:cs="Arial"/>
                <w:b/>
                <w:color w:val="auto"/>
                <w:lang w:eastAsia="en-US"/>
              </w:rPr>
            </w:pPr>
            <w:r w:rsidRPr="007E59D7">
              <w:rPr>
                <w:rFonts w:eastAsia="Calibri" w:cs="Arial"/>
                <w:b/>
                <w:color w:val="auto"/>
                <w:lang w:eastAsia="en-US"/>
              </w:rPr>
              <w:t>Item</w:t>
            </w:r>
          </w:p>
        </w:tc>
        <w:tc>
          <w:tcPr>
            <w:tcW w:w="4818" w:type="dxa"/>
            <w:shd w:val="clear" w:color="auto" w:fill="BFBFBF" w:themeFill="background1" w:themeFillShade="BF"/>
          </w:tcPr>
          <w:p w14:paraId="677E53EF" w14:textId="77777777" w:rsidR="008E4D82" w:rsidRPr="007E59D7" w:rsidRDefault="008E4D82" w:rsidP="0000196E">
            <w:pPr>
              <w:spacing w:after="160" w:line="259" w:lineRule="auto"/>
              <w:rPr>
                <w:rFonts w:eastAsia="Calibri" w:cs="Arial"/>
                <w:b/>
                <w:color w:val="auto"/>
                <w:lang w:eastAsia="en-US"/>
              </w:rPr>
            </w:pPr>
            <w:r w:rsidRPr="007E59D7">
              <w:rPr>
                <w:rFonts w:eastAsia="Calibri" w:cs="Arial"/>
                <w:b/>
                <w:color w:val="auto"/>
                <w:lang w:eastAsia="en-US"/>
              </w:rPr>
              <w:t>Description</w:t>
            </w:r>
          </w:p>
        </w:tc>
        <w:tc>
          <w:tcPr>
            <w:tcW w:w="2126" w:type="dxa"/>
            <w:shd w:val="clear" w:color="auto" w:fill="BFBFBF" w:themeFill="background1" w:themeFillShade="BF"/>
          </w:tcPr>
          <w:p w14:paraId="7466D6E8" w14:textId="77777777" w:rsidR="008E4D82" w:rsidRPr="007E59D7" w:rsidRDefault="008E4D82" w:rsidP="00F4623A">
            <w:pPr>
              <w:spacing w:after="160" w:line="259" w:lineRule="auto"/>
              <w:jc w:val="center"/>
              <w:rPr>
                <w:rFonts w:eastAsia="Calibri" w:cs="Arial"/>
                <w:b/>
                <w:color w:val="auto"/>
                <w:lang w:eastAsia="en-US"/>
              </w:rPr>
            </w:pPr>
            <w:r w:rsidRPr="007E59D7">
              <w:rPr>
                <w:rFonts w:eastAsia="Calibri" w:cs="Arial"/>
                <w:b/>
                <w:color w:val="auto"/>
                <w:lang w:eastAsia="en-US"/>
              </w:rPr>
              <w:t>Annual Revenue Cost</w:t>
            </w:r>
          </w:p>
          <w:p w14:paraId="284F6F61" w14:textId="77777777" w:rsidR="00F4623A" w:rsidRPr="007E59D7" w:rsidRDefault="00F4623A" w:rsidP="00F4623A">
            <w:pPr>
              <w:spacing w:after="160" w:line="259" w:lineRule="auto"/>
              <w:jc w:val="center"/>
              <w:rPr>
                <w:rFonts w:eastAsia="Calibri" w:cs="Arial"/>
                <w:b/>
                <w:color w:val="auto"/>
                <w:lang w:eastAsia="en-US"/>
              </w:rPr>
            </w:pPr>
            <w:r w:rsidRPr="007E59D7">
              <w:rPr>
                <w:rFonts w:eastAsia="Calibri" w:cs="Arial"/>
                <w:b/>
                <w:color w:val="auto"/>
                <w:lang w:eastAsia="en-US"/>
              </w:rPr>
              <w:t>£000’s</w:t>
            </w:r>
          </w:p>
        </w:tc>
      </w:tr>
      <w:tr w:rsidR="008E4D82" w14:paraId="071CE631" w14:textId="77777777" w:rsidTr="0000196E">
        <w:tc>
          <w:tcPr>
            <w:tcW w:w="2378" w:type="dxa"/>
          </w:tcPr>
          <w:p w14:paraId="1DF8121E"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 xml:space="preserve">Core Infrastructure </w:t>
            </w:r>
            <w:r>
              <w:rPr>
                <w:rFonts w:eastAsia="Calibri" w:cs="Arial"/>
                <w:color w:val="auto"/>
                <w:lang w:eastAsia="en-US"/>
              </w:rPr>
              <w:lastRenderedPageBreak/>
              <w:t>(SCC)</w:t>
            </w:r>
          </w:p>
        </w:tc>
        <w:tc>
          <w:tcPr>
            <w:tcW w:w="4818" w:type="dxa"/>
          </w:tcPr>
          <w:p w14:paraId="50DBC451"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lastRenderedPageBreak/>
              <w:t>Provision of servers, storage, backups;</w:t>
            </w:r>
          </w:p>
          <w:p w14:paraId="1A0732D7"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lastRenderedPageBreak/>
              <w:t>Server management, database management</w:t>
            </w:r>
          </w:p>
          <w:p w14:paraId="21362CA9"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Security infrastructure</w:t>
            </w:r>
          </w:p>
        </w:tc>
        <w:tc>
          <w:tcPr>
            <w:tcW w:w="2126" w:type="dxa"/>
          </w:tcPr>
          <w:p w14:paraId="365C1EF8"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lastRenderedPageBreak/>
              <w:t>604</w:t>
            </w:r>
          </w:p>
        </w:tc>
      </w:tr>
      <w:tr w:rsidR="008E4D82" w14:paraId="63074350" w14:textId="77777777" w:rsidTr="0000196E">
        <w:tc>
          <w:tcPr>
            <w:tcW w:w="2378" w:type="dxa"/>
          </w:tcPr>
          <w:p w14:paraId="7AB78DF6"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lastRenderedPageBreak/>
              <w:t>ICT Staffing</w:t>
            </w:r>
          </w:p>
        </w:tc>
        <w:tc>
          <w:tcPr>
            <w:tcW w:w="4818" w:type="dxa"/>
          </w:tcPr>
          <w:p w14:paraId="6ECDFDFE"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Expansion of City ICT team to cover service desk and technical specialisms</w:t>
            </w:r>
          </w:p>
        </w:tc>
        <w:tc>
          <w:tcPr>
            <w:tcW w:w="2126" w:type="dxa"/>
          </w:tcPr>
          <w:p w14:paraId="6F95DB34"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210</w:t>
            </w:r>
          </w:p>
        </w:tc>
      </w:tr>
      <w:tr w:rsidR="008E4D82" w14:paraId="52D56109" w14:textId="77777777" w:rsidTr="0000196E">
        <w:tc>
          <w:tcPr>
            <w:tcW w:w="2378" w:type="dxa"/>
          </w:tcPr>
          <w:p w14:paraId="28AE43C8"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Wide Area Network</w:t>
            </w:r>
          </w:p>
        </w:tc>
        <w:tc>
          <w:tcPr>
            <w:tcW w:w="4818" w:type="dxa"/>
          </w:tcPr>
          <w:p w14:paraId="406B22D4"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Novation of Vodafone network charges previously paid within the County contract;</w:t>
            </w:r>
          </w:p>
          <w:p w14:paraId="6923EA51"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Includes network links from City to SCC</w:t>
            </w:r>
          </w:p>
        </w:tc>
        <w:tc>
          <w:tcPr>
            <w:tcW w:w="2126" w:type="dxa"/>
          </w:tcPr>
          <w:p w14:paraId="21E11452"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75</w:t>
            </w:r>
          </w:p>
        </w:tc>
      </w:tr>
      <w:tr w:rsidR="008E4D82" w14:paraId="7A5FF4E0" w14:textId="77777777" w:rsidTr="0000196E">
        <w:tc>
          <w:tcPr>
            <w:tcW w:w="2378" w:type="dxa"/>
          </w:tcPr>
          <w:p w14:paraId="5EF8688A"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Technical tools and resources</w:t>
            </w:r>
          </w:p>
        </w:tc>
        <w:tc>
          <w:tcPr>
            <w:tcW w:w="4818" w:type="dxa"/>
          </w:tcPr>
          <w:p w14:paraId="7ACF60E7"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 xml:space="preserve">Support and maintenance of replacement </w:t>
            </w:r>
            <w:proofErr w:type="spellStart"/>
            <w:r>
              <w:rPr>
                <w:rFonts w:eastAsia="Calibri" w:cs="Arial"/>
                <w:color w:val="auto"/>
                <w:lang w:eastAsia="en-US"/>
              </w:rPr>
              <w:t>ServiceDesk</w:t>
            </w:r>
            <w:proofErr w:type="spellEnd"/>
            <w:r>
              <w:rPr>
                <w:rFonts w:eastAsia="Calibri" w:cs="Arial"/>
                <w:color w:val="auto"/>
                <w:lang w:eastAsia="en-US"/>
              </w:rPr>
              <w:t xml:space="preserve"> tool;</w:t>
            </w:r>
          </w:p>
          <w:p w14:paraId="00C577E8"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Internet connectivity</w:t>
            </w:r>
          </w:p>
          <w:p w14:paraId="3295A7AB"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Remote Access solution (replacing RSA tokens</w:t>
            </w:r>
          </w:p>
        </w:tc>
        <w:tc>
          <w:tcPr>
            <w:tcW w:w="2126" w:type="dxa"/>
          </w:tcPr>
          <w:p w14:paraId="324E214A"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51</w:t>
            </w:r>
          </w:p>
        </w:tc>
      </w:tr>
      <w:tr w:rsidR="008E4D82" w14:paraId="3D0E5E6B" w14:textId="77777777" w:rsidTr="0000196E">
        <w:tc>
          <w:tcPr>
            <w:tcW w:w="2378" w:type="dxa"/>
          </w:tcPr>
          <w:p w14:paraId="4E422787"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Total</w:t>
            </w:r>
          </w:p>
        </w:tc>
        <w:tc>
          <w:tcPr>
            <w:tcW w:w="4818" w:type="dxa"/>
          </w:tcPr>
          <w:p w14:paraId="5AF348B9" w14:textId="77777777" w:rsidR="008E4D82" w:rsidRDefault="008E4D82" w:rsidP="0000196E">
            <w:pPr>
              <w:spacing w:after="160" w:line="259" w:lineRule="auto"/>
              <w:rPr>
                <w:rFonts w:eastAsia="Calibri" w:cs="Arial"/>
                <w:color w:val="auto"/>
                <w:lang w:eastAsia="en-US"/>
              </w:rPr>
            </w:pPr>
          </w:p>
        </w:tc>
        <w:tc>
          <w:tcPr>
            <w:tcW w:w="2126" w:type="dxa"/>
          </w:tcPr>
          <w:p w14:paraId="4239C383"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940</w:t>
            </w:r>
          </w:p>
        </w:tc>
      </w:tr>
    </w:tbl>
    <w:p w14:paraId="6B4902F0" w14:textId="77777777" w:rsidR="008E4D82" w:rsidRDefault="008E4D82" w:rsidP="00F4623A">
      <w:pPr>
        <w:rPr>
          <w:rFonts w:eastAsia="Calibri"/>
          <w:lang w:eastAsia="en-US"/>
        </w:rPr>
      </w:pPr>
    </w:p>
    <w:p w14:paraId="6B02A9BF" w14:textId="77777777" w:rsidR="00F4623A" w:rsidRDefault="002D09AA" w:rsidP="00F4623A">
      <w:pPr>
        <w:rPr>
          <w:rFonts w:eastAsia="Calibri"/>
          <w:lang w:eastAsia="en-US"/>
        </w:rPr>
      </w:pPr>
      <w:r>
        <w:rPr>
          <w:rFonts w:eastAsia="Calibri"/>
          <w:lang w:eastAsia="en-US"/>
        </w:rPr>
        <w:t>T</w:t>
      </w:r>
      <w:r w:rsidR="00F4623A">
        <w:rPr>
          <w:rFonts w:eastAsia="Calibri"/>
          <w:lang w:eastAsia="en-US"/>
        </w:rPr>
        <w:t>he Council has budgeted for £979k per annum within its medium term financial plan, a saving of £150k per annum against the previous cost from the County Council.</w:t>
      </w:r>
    </w:p>
    <w:p w14:paraId="6036E844" w14:textId="77777777" w:rsidR="00F4623A" w:rsidRDefault="00F4623A" w:rsidP="00F4623A">
      <w:pPr>
        <w:rPr>
          <w:rFonts w:eastAsia="Calibri"/>
          <w:lang w:eastAsia="en-US"/>
        </w:rPr>
      </w:pPr>
    </w:p>
    <w:p w14:paraId="3579577D" w14:textId="77777777" w:rsidR="008E4D82" w:rsidRPr="007E59D7" w:rsidRDefault="00190F39" w:rsidP="00F4623A">
      <w:pPr>
        <w:rPr>
          <w:rFonts w:eastAsia="Calibri"/>
          <w:b/>
          <w:lang w:eastAsia="en-US"/>
        </w:rPr>
      </w:pPr>
      <w:r w:rsidRPr="007E59D7">
        <w:rPr>
          <w:rFonts w:eastAsia="Calibri"/>
          <w:b/>
          <w:lang w:eastAsia="en-US"/>
        </w:rPr>
        <w:t>11.2</w:t>
      </w:r>
      <w:r w:rsidRPr="007E59D7">
        <w:rPr>
          <w:rFonts w:eastAsia="Calibri"/>
          <w:b/>
          <w:lang w:eastAsia="en-US"/>
        </w:rPr>
        <w:tab/>
      </w:r>
      <w:r w:rsidR="008E4D82" w:rsidRPr="007E59D7">
        <w:rPr>
          <w:rFonts w:eastAsia="Calibri"/>
          <w:b/>
          <w:lang w:eastAsia="en-US"/>
        </w:rPr>
        <w:t>Project Costs</w:t>
      </w:r>
    </w:p>
    <w:p w14:paraId="0B1E27A3" w14:textId="77777777" w:rsidR="008E4D82" w:rsidRDefault="008E4D82" w:rsidP="00F4623A">
      <w:pPr>
        <w:rPr>
          <w:rFonts w:eastAsia="Calibri"/>
          <w:lang w:eastAsia="en-US"/>
        </w:rPr>
      </w:pPr>
      <w:r>
        <w:rPr>
          <w:rFonts w:eastAsia="Calibri"/>
          <w:lang w:eastAsia="en-US"/>
        </w:rPr>
        <w:t>The transition project was a major undertaking with 150 servers, 57 line of business applications and 20 million files to be moved.  At the same time we aimed to minimise disruption to operational services.</w:t>
      </w:r>
      <w:r w:rsidR="008D64FC">
        <w:rPr>
          <w:rFonts w:eastAsia="Calibri"/>
          <w:lang w:eastAsia="en-US"/>
        </w:rPr>
        <w:t xml:space="preserve"> A one off budget of £900k was allowed for in the Councils Medium Term Financial Plan.</w:t>
      </w:r>
    </w:p>
    <w:p w14:paraId="1EE347CC" w14:textId="77777777" w:rsidR="008E4D82" w:rsidRDefault="008E4D82" w:rsidP="00F4623A">
      <w:pPr>
        <w:rPr>
          <w:rFonts w:eastAsia="Calibri"/>
          <w:lang w:eastAsia="en-US"/>
        </w:rPr>
      </w:pPr>
      <w:r>
        <w:rPr>
          <w:rFonts w:eastAsia="Calibri"/>
          <w:lang w:eastAsia="en-US"/>
        </w:rPr>
        <w:t>Over the period of the migration the County suffered 2 major service outages which resulted in a loss of all ICT services for more than 48hrs on both occasions.</w:t>
      </w:r>
    </w:p>
    <w:p w14:paraId="10461DB3" w14:textId="77777777" w:rsidR="008E4D82" w:rsidRDefault="008E4D82" w:rsidP="00F4623A">
      <w:pPr>
        <w:rPr>
          <w:rFonts w:eastAsia="Calibri"/>
          <w:lang w:eastAsia="en-US"/>
        </w:rPr>
      </w:pPr>
      <w:r>
        <w:rPr>
          <w:rFonts w:eastAsia="Calibri"/>
          <w:lang w:eastAsia="en-US"/>
        </w:rPr>
        <w:t xml:space="preserve">The </w:t>
      </w:r>
      <w:r w:rsidR="00F4623A">
        <w:rPr>
          <w:rFonts w:eastAsia="Calibri"/>
          <w:lang w:eastAsia="en-US"/>
        </w:rPr>
        <w:t xml:space="preserve">one off </w:t>
      </w:r>
      <w:r>
        <w:rPr>
          <w:rFonts w:eastAsia="Calibri"/>
          <w:lang w:eastAsia="en-US"/>
        </w:rPr>
        <w:t>cost of the transition project in 2015/16 breaks down as follows:</w:t>
      </w:r>
    </w:p>
    <w:p w14:paraId="6CEE2588" w14:textId="77777777" w:rsidR="00F4623A" w:rsidRDefault="00F4623A" w:rsidP="00F4623A">
      <w:pPr>
        <w:rPr>
          <w:rFonts w:eastAsia="Calibri"/>
          <w:lang w:eastAsia="en-US"/>
        </w:rPr>
      </w:pPr>
    </w:p>
    <w:p w14:paraId="0722B384" w14:textId="77777777" w:rsidR="00F4623A" w:rsidRDefault="00F4623A" w:rsidP="00F4623A">
      <w:pPr>
        <w:rPr>
          <w:rFonts w:eastAsia="Calibri"/>
          <w:lang w:eastAsia="en-US"/>
        </w:rPr>
      </w:pPr>
    </w:p>
    <w:tbl>
      <w:tblPr>
        <w:tblStyle w:val="TableGrid"/>
        <w:tblW w:w="0" w:type="auto"/>
        <w:tblLook w:val="04A0" w:firstRow="1" w:lastRow="0" w:firstColumn="1" w:lastColumn="0" w:noHBand="0" w:noVBand="1"/>
      </w:tblPr>
      <w:tblGrid>
        <w:gridCol w:w="2378"/>
        <w:gridCol w:w="4818"/>
        <w:gridCol w:w="2126"/>
      </w:tblGrid>
      <w:tr w:rsidR="008E4D82" w14:paraId="6F850940" w14:textId="77777777" w:rsidTr="000A417B">
        <w:tc>
          <w:tcPr>
            <w:tcW w:w="2378" w:type="dxa"/>
            <w:shd w:val="clear" w:color="auto" w:fill="BFBFBF" w:themeFill="background1" w:themeFillShade="BF"/>
          </w:tcPr>
          <w:p w14:paraId="594D9203" w14:textId="77777777" w:rsidR="008E4D82" w:rsidRPr="000A417B" w:rsidRDefault="008E4D82" w:rsidP="0000196E">
            <w:pPr>
              <w:spacing w:after="160" w:line="259" w:lineRule="auto"/>
              <w:rPr>
                <w:rFonts w:eastAsia="Calibri" w:cs="Arial"/>
                <w:b/>
                <w:color w:val="auto"/>
                <w:lang w:eastAsia="en-US"/>
              </w:rPr>
            </w:pPr>
            <w:r w:rsidRPr="000A417B">
              <w:rPr>
                <w:rFonts w:eastAsia="Calibri" w:cs="Arial"/>
                <w:b/>
                <w:color w:val="auto"/>
                <w:lang w:eastAsia="en-US"/>
              </w:rPr>
              <w:t>Item</w:t>
            </w:r>
          </w:p>
        </w:tc>
        <w:tc>
          <w:tcPr>
            <w:tcW w:w="4818" w:type="dxa"/>
            <w:shd w:val="clear" w:color="auto" w:fill="BFBFBF" w:themeFill="background1" w:themeFillShade="BF"/>
          </w:tcPr>
          <w:p w14:paraId="0FE76CBC" w14:textId="77777777" w:rsidR="008E4D82" w:rsidRPr="000A417B" w:rsidRDefault="008E4D82" w:rsidP="0000196E">
            <w:pPr>
              <w:spacing w:after="160" w:line="259" w:lineRule="auto"/>
              <w:rPr>
                <w:rFonts w:eastAsia="Calibri" w:cs="Arial"/>
                <w:b/>
                <w:color w:val="auto"/>
                <w:lang w:eastAsia="en-US"/>
              </w:rPr>
            </w:pPr>
            <w:r w:rsidRPr="000A417B">
              <w:rPr>
                <w:rFonts w:eastAsia="Calibri" w:cs="Arial"/>
                <w:b/>
                <w:color w:val="auto"/>
                <w:lang w:eastAsia="en-US"/>
              </w:rPr>
              <w:t>Description</w:t>
            </w:r>
          </w:p>
        </w:tc>
        <w:tc>
          <w:tcPr>
            <w:tcW w:w="2126" w:type="dxa"/>
            <w:shd w:val="clear" w:color="auto" w:fill="BFBFBF" w:themeFill="background1" w:themeFillShade="BF"/>
          </w:tcPr>
          <w:p w14:paraId="3C433480" w14:textId="77777777" w:rsidR="008E4D82" w:rsidRPr="000A417B" w:rsidRDefault="008E4D82" w:rsidP="00F4623A">
            <w:pPr>
              <w:spacing w:after="160" w:line="259" w:lineRule="auto"/>
              <w:jc w:val="center"/>
              <w:rPr>
                <w:rFonts w:eastAsia="Calibri" w:cs="Arial"/>
                <w:b/>
                <w:color w:val="auto"/>
                <w:lang w:eastAsia="en-US"/>
              </w:rPr>
            </w:pPr>
            <w:r w:rsidRPr="000A417B">
              <w:rPr>
                <w:rFonts w:eastAsia="Calibri" w:cs="Arial"/>
                <w:b/>
                <w:color w:val="auto"/>
                <w:lang w:eastAsia="en-US"/>
              </w:rPr>
              <w:t>Annual Revenue Cost</w:t>
            </w:r>
          </w:p>
          <w:p w14:paraId="7941E1EC" w14:textId="77777777" w:rsidR="00F4623A" w:rsidRPr="000A417B" w:rsidRDefault="00F4623A" w:rsidP="00F4623A">
            <w:pPr>
              <w:spacing w:after="160" w:line="259" w:lineRule="auto"/>
              <w:jc w:val="center"/>
              <w:rPr>
                <w:rFonts w:eastAsia="Calibri" w:cs="Arial"/>
                <w:b/>
                <w:color w:val="auto"/>
                <w:lang w:eastAsia="en-US"/>
              </w:rPr>
            </w:pPr>
            <w:r w:rsidRPr="000A417B">
              <w:rPr>
                <w:rFonts w:eastAsia="Calibri" w:cs="Arial"/>
                <w:b/>
                <w:color w:val="auto"/>
                <w:lang w:eastAsia="en-US"/>
              </w:rPr>
              <w:t>£000’s</w:t>
            </w:r>
          </w:p>
        </w:tc>
      </w:tr>
      <w:tr w:rsidR="008E4D82" w14:paraId="65220BA5" w14:textId="77777777" w:rsidTr="0000196E">
        <w:tc>
          <w:tcPr>
            <w:tcW w:w="2378" w:type="dxa"/>
          </w:tcPr>
          <w:p w14:paraId="5DC0D974"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SCC Migration Project</w:t>
            </w:r>
          </w:p>
        </w:tc>
        <w:tc>
          <w:tcPr>
            <w:tcW w:w="4818" w:type="dxa"/>
          </w:tcPr>
          <w:p w14:paraId="4A63250F"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Discovery, design and project management of core infrastructure components</w:t>
            </w:r>
          </w:p>
        </w:tc>
        <w:tc>
          <w:tcPr>
            <w:tcW w:w="2126" w:type="dxa"/>
          </w:tcPr>
          <w:p w14:paraId="58919C32"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120</w:t>
            </w:r>
          </w:p>
        </w:tc>
      </w:tr>
      <w:tr w:rsidR="008E4D82" w14:paraId="4B370E63" w14:textId="77777777" w:rsidTr="0000196E">
        <w:tc>
          <w:tcPr>
            <w:tcW w:w="2378" w:type="dxa"/>
          </w:tcPr>
          <w:p w14:paraId="66259ED8"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City Project Resources</w:t>
            </w:r>
          </w:p>
        </w:tc>
        <w:tc>
          <w:tcPr>
            <w:tcW w:w="4818" w:type="dxa"/>
          </w:tcPr>
          <w:p w14:paraId="4C4B9F82"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Project Management</w:t>
            </w:r>
          </w:p>
          <w:p w14:paraId="0C330C4E"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 xml:space="preserve">Technical specialist resource for network configuration and redesign, Active </w:t>
            </w:r>
            <w:r>
              <w:rPr>
                <w:rFonts w:eastAsia="Calibri" w:cs="Arial"/>
                <w:color w:val="auto"/>
                <w:lang w:eastAsia="en-US"/>
              </w:rPr>
              <w:lastRenderedPageBreak/>
              <w:t>Directory migration</w:t>
            </w:r>
          </w:p>
        </w:tc>
        <w:tc>
          <w:tcPr>
            <w:tcW w:w="2126" w:type="dxa"/>
          </w:tcPr>
          <w:p w14:paraId="1D6BCA27"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lastRenderedPageBreak/>
              <w:t>94</w:t>
            </w:r>
          </w:p>
        </w:tc>
      </w:tr>
      <w:tr w:rsidR="008E4D82" w14:paraId="326B50EF" w14:textId="77777777" w:rsidTr="0000196E">
        <w:tc>
          <w:tcPr>
            <w:tcW w:w="2378" w:type="dxa"/>
          </w:tcPr>
          <w:p w14:paraId="1A2FCC1A"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lastRenderedPageBreak/>
              <w:t>Network Migration</w:t>
            </w:r>
          </w:p>
        </w:tc>
        <w:tc>
          <w:tcPr>
            <w:tcW w:w="4818" w:type="dxa"/>
          </w:tcPr>
          <w:p w14:paraId="36B5B6A5"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Implementation of new network links to SCC data centre;</w:t>
            </w:r>
          </w:p>
          <w:p w14:paraId="742CB06E"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Migration of existing lines</w:t>
            </w:r>
          </w:p>
          <w:p w14:paraId="717959A7"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Upgrade of links for St Aldates and Town Hall</w:t>
            </w:r>
          </w:p>
        </w:tc>
        <w:tc>
          <w:tcPr>
            <w:tcW w:w="2126" w:type="dxa"/>
          </w:tcPr>
          <w:p w14:paraId="577158DF"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83</w:t>
            </w:r>
          </w:p>
        </w:tc>
      </w:tr>
      <w:tr w:rsidR="008E4D82" w14:paraId="57FE2990" w14:textId="77777777" w:rsidTr="0000196E">
        <w:tc>
          <w:tcPr>
            <w:tcW w:w="2378" w:type="dxa"/>
          </w:tcPr>
          <w:p w14:paraId="5A0CA635"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Application Provider Migration costs</w:t>
            </w:r>
          </w:p>
        </w:tc>
        <w:tc>
          <w:tcPr>
            <w:tcW w:w="4818" w:type="dxa"/>
          </w:tcPr>
          <w:p w14:paraId="325120BD"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Specialist technical resource required to migrate applications to the new platform</w:t>
            </w:r>
          </w:p>
        </w:tc>
        <w:tc>
          <w:tcPr>
            <w:tcW w:w="2126" w:type="dxa"/>
          </w:tcPr>
          <w:p w14:paraId="6D61B232"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45</w:t>
            </w:r>
          </w:p>
        </w:tc>
      </w:tr>
      <w:tr w:rsidR="008E4D82" w14:paraId="1EF99ECE" w14:textId="77777777" w:rsidTr="0000196E">
        <w:tc>
          <w:tcPr>
            <w:tcW w:w="2378" w:type="dxa"/>
          </w:tcPr>
          <w:p w14:paraId="4C8D6DD3"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Service Management Tools</w:t>
            </w:r>
          </w:p>
        </w:tc>
        <w:tc>
          <w:tcPr>
            <w:tcW w:w="4818" w:type="dxa"/>
          </w:tcPr>
          <w:p w14:paraId="68BB22CC"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Replacement of ICT service desk solution (</w:t>
            </w:r>
            <w:proofErr w:type="spellStart"/>
            <w:r>
              <w:rPr>
                <w:rFonts w:eastAsia="Calibri" w:cs="Arial"/>
                <w:color w:val="auto"/>
                <w:lang w:eastAsia="en-US"/>
              </w:rPr>
              <w:t>vfire</w:t>
            </w:r>
            <w:proofErr w:type="spellEnd"/>
            <w:r>
              <w:rPr>
                <w:rFonts w:eastAsia="Calibri" w:cs="Arial"/>
                <w:color w:val="auto"/>
                <w:lang w:eastAsia="en-US"/>
              </w:rPr>
              <w:t>)</w:t>
            </w:r>
          </w:p>
          <w:p w14:paraId="6E32E292"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Application and Server Monitoring tool (ICINGA)</w:t>
            </w:r>
          </w:p>
          <w:p w14:paraId="312ADB8C"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ITIL Training for ICT Team</w:t>
            </w:r>
          </w:p>
        </w:tc>
        <w:tc>
          <w:tcPr>
            <w:tcW w:w="2126" w:type="dxa"/>
          </w:tcPr>
          <w:p w14:paraId="543561E6"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48</w:t>
            </w:r>
          </w:p>
        </w:tc>
      </w:tr>
      <w:tr w:rsidR="008E4D82" w14:paraId="75147009" w14:textId="77777777" w:rsidTr="0000196E">
        <w:tc>
          <w:tcPr>
            <w:tcW w:w="2378" w:type="dxa"/>
          </w:tcPr>
          <w:p w14:paraId="694E0E0A"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County Resource</w:t>
            </w:r>
          </w:p>
        </w:tc>
        <w:tc>
          <w:tcPr>
            <w:tcW w:w="4818" w:type="dxa"/>
          </w:tcPr>
          <w:p w14:paraId="727D813A"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Cost for County resource outside of core Contract</w:t>
            </w:r>
          </w:p>
        </w:tc>
        <w:tc>
          <w:tcPr>
            <w:tcW w:w="2126" w:type="dxa"/>
          </w:tcPr>
          <w:p w14:paraId="53D387FA"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30</w:t>
            </w:r>
          </w:p>
        </w:tc>
      </w:tr>
      <w:tr w:rsidR="008E4D82" w14:paraId="6FE5CAD1" w14:textId="77777777" w:rsidTr="0000196E">
        <w:tc>
          <w:tcPr>
            <w:tcW w:w="2378" w:type="dxa"/>
          </w:tcPr>
          <w:p w14:paraId="2C1B10E4"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ICT Operations Team</w:t>
            </w:r>
          </w:p>
        </w:tc>
        <w:tc>
          <w:tcPr>
            <w:tcW w:w="4818" w:type="dxa"/>
          </w:tcPr>
          <w:p w14:paraId="2563CBFA"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 xml:space="preserve">Additional ICT support staff recruited from Jan 2016 (1 </w:t>
            </w:r>
            <w:proofErr w:type="spellStart"/>
            <w:r>
              <w:rPr>
                <w:rFonts w:eastAsia="Calibri" w:cs="Arial"/>
                <w:color w:val="auto"/>
                <w:lang w:eastAsia="en-US"/>
              </w:rPr>
              <w:t>Qtr</w:t>
            </w:r>
            <w:proofErr w:type="spellEnd"/>
            <w:r>
              <w:rPr>
                <w:rFonts w:eastAsia="Calibri" w:cs="Arial"/>
                <w:color w:val="auto"/>
                <w:lang w:eastAsia="en-US"/>
              </w:rPr>
              <w:t xml:space="preserve"> before new contract commenced)</w:t>
            </w:r>
          </w:p>
        </w:tc>
        <w:tc>
          <w:tcPr>
            <w:tcW w:w="2126" w:type="dxa"/>
          </w:tcPr>
          <w:p w14:paraId="009504CD"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52</w:t>
            </w:r>
          </w:p>
        </w:tc>
      </w:tr>
      <w:tr w:rsidR="008E4D82" w14:paraId="41295E31" w14:textId="77777777" w:rsidTr="0000196E">
        <w:tc>
          <w:tcPr>
            <w:tcW w:w="2378" w:type="dxa"/>
          </w:tcPr>
          <w:p w14:paraId="5DA2A36B"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Dual running</w:t>
            </w:r>
          </w:p>
        </w:tc>
        <w:tc>
          <w:tcPr>
            <w:tcW w:w="4818" w:type="dxa"/>
          </w:tcPr>
          <w:p w14:paraId="4364300A"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Live services commenced from mid Feb onwards as services were cut over</w:t>
            </w:r>
          </w:p>
        </w:tc>
        <w:tc>
          <w:tcPr>
            <w:tcW w:w="2126" w:type="dxa"/>
          </w:tcPr>
          <w:p w14:paraId="7593C63F" w14:textId="77777777" w:rsidR="008E4D82" w:rsidRDefault="008E4D82" w:rsidP="00F4623A">
            <w:pPr>
              <w:spacing w:after="160" w:line="259" w:lineRule="auto"/>
              <w:jc w:val="right"/>
              <w:rPr>
                <w:rFonts w:eastAsia="Calibri" w:cs="Arial"/>
                <w:color w:val="auto"/>
                <w:lang w:eastAsia="en-US"/>
              </w:rPr>
            </w:pPr>
            <w:r>
              <w:rPr>
                <w:rFonts w:eastAsia="Calibri" w:cs="Arial"/>
                <w:color w:val="auto"/>
                <w:lang w:eastAsia="en-US"/>
              </w:rPr>
              <w:t>45</w:t>
            </w:r>
          </w:p>
        </w:tc>
      </w:tr>
      <w:tr w:rsidR="009373AD" w14:paraId="428528FE" w14:textId="77777777" w:rsidTr="0000196E">
        <w:tc>
          <w:tcPr>
            <w:tcW w:w="2378" w:type="dxa"/>
          </w:tcPr>
          <w:p w14:paraId="6B0F48A7" w14:textId="77777777" w:rsidR="009373AD" w:rsidRDefault="009373AD" w:rsidP="0000196E">
            <w:pPr>
              <w:spacing w:after="160" w:line="259" w:lineRule="auto"/>
              <w:rPr>
                <w:rFonts w:eastAsia="Calibri" w:cs="Arial"/>
                <w:color w:val="auto"/>
                <w:lang w:eastAsia="en-US"/>
              </w:rPr>
            </w:pPr>
            <w:r>
              <w:rPr>
                <w:rFonts w:eastAsia="Calibri" w:cs="Arial"/>
                <w:color w:val="auto"/>
                <w:lang w:eastAsia="en-US"/>
              </w:rPr>
              <w:t>Network specialists and other additional support</w:t>
            </w:r>
          </w:p>
        </w:tc>
        <w:tc>
          <w:tcPr>
            <w:tcW w:w="4818" w:type="dxa"/>
          </w:tcPr>
          <w:p w14:paraId="44631A1D" w14:textId="77777777" w:rsidR="009373AD" w:rsidRDefault="009373AD" w:rsidP="0000196E">
            <w:pPr>
              <w:spacing w:after="160" w:line="259" w:lineRule="auto"/>
              <w:rPr>
                <w:rFonts w:eastAsia="Calibri" w:cs="Arial"/>
                <w:color w:val="auto"/>
                <w:lang w:eastAsia="en-US"/>
              </w:rPr>
            </w:pPr>
            <w:r>
              <w:rPr>
                <w:rFonts w:eastAsia="Calibri" w:cs="Arial"/>
                <w:color w:val="auto"/>
                <w:lang w:eastAsia="en-US"/>
              </w:rPr>
              <w:t>Additional one off staffing to assist with transition</w:t>
            </w:r>
            <w:r w:rsidR="008D64FC">
              <w:rPr>
                <w:rFonts w:eastAsia="Calibri" w:cs="Arial"/>
                <w:color w:val="auto"/>
                <w:lang w:eastAsia="en-US"/>
              </w:rPr>
              <w:t xml:space="preserve">, allow for handover and various technical tasks up to </w:t>
            </w:r>
            <w:r w:rsidR="006251FA">
              <w:rPr>
                <w:rFonts w:eastAsia="Calibri" w:cs="Arial"/>
                <w:color w:val="auto"/>
                <w:lang w:eastAsia="en-US"/>
              </w:rPr>
              <w:t>August</w:t>
            </w:r>
            <w:r w:rsidR="008D64FC">
              <w:rPr>
                <w:rFonts w:eastAsia="Calibri" w:cs="Arial"/>
                <w:color w:val="auto"/>
                <w:lang w:eastAsia="en-US"/>
              </w:rPr>
              <w:t xml:space="preserve"> 2016.</w:t>
            </w:r>
          </w:p>
        </w:tc>
        <w:tc>
          <w:tcPr>
            <w:tcW w:w="2126" w:type="dxa"/>
          </w:tcPr>
          <w:p w14:paraId="28EDB6A9" w14:textId="77777777" w:rsidR="009373AD" w:rsidRDefault="009373AD" w:rsidP="00F4623A">
            <w:pPr>
              <w:spacing w:after="160" w:line="259" w:lineRule="auto"/>
              <w:jc w:val="right"/>
              <w:rPr>
                <w:rFonts w:eastAsia="Calibri" w:cs="Arial"/>
                <w:color w:val="auto"/>
                <w:lang w:eastAsia="en-US"/>
              </w:rPr>
            </w:pPr>
            <w:r>
              <w:rPr>
                <w:rFonts w:eastAsia="Calibri" w:cs="Arial"/>
                <w:color w:val="auto"/>
                <w:lang w:eastAsia="en-US"/>
              </w:rPr>
              <w:t>307</w:t>
            </w:r>
          </w:p>
        </w:tc>
      </w:tr>
      <w:tr w:rsidR="008E4D82" w14:paraId="60CB6720" w14:textId="77777777" w:rsidTr="0000196E">
        <w:tc>
          <w:tcPr>
            <w:tcW w:w="2378" w:type="dxa"/>
          </w:tcPr>
          <w:p w14:paraId="09826993" w14:textId="77777777" w:rsidR="008E4D82" w:rsidRDefault="008E4D82" w:rsidP="0000196E">
            <w:pPr>
              <w:spacing w:after="160" w:line="259" w:lineRule="auto"/>
              <w:rPr>
                <w:rFonts w:eastAsia="Calibri" w:cs="Arial"/>
                <w:color w:val="auto"/>
                <w:lang w:eastAsia="en-US"/>
              </w:rPr>
            </w:pPr>
            <w:r>
              <w:rPr>
                <w:rFonts w:eastAsia="Calibri" w:cs="Arial"/>
                <w:color w:val="auto"/>
                <w:lang w:eastAsia="en-US"/>
              </w:rPr>
              <w:t>Total</w:t>
            </w:r>
          </w:p>
        </w:tc>
        <w:tc>
          <w:tcPr>
            <w:tcW w:w="4818" w:type="dxa"/>
          </w:tcPr>
          <w:p w14:paraId="6B18E2F3" w14:textId="77777777" w:rsidR="008E4D82" w:rsidRDefault="008E4D82" w:rsidP="0000196E">
            <w:pPr>
              <w:spacing w:after="160" w:line="259" w:lineRule="auto"/>
              <w:rPr>
                <w:rFonts w:eastAsia="Calibri" w:cs="Arial"/>
                <w:color w:val="auto"/>
                <w:lang w:eastAsia="en-US"/>
              </w:rPr>
            </w:pPr>
          </w:p>
        </w:tc>
        <w:tc>
          <w:tcPr>
            <w:tcW w:w="2126" w:type="dxa"/>
          </w:tcPr>
          <w:p w14:paraId="34C7671C" w14:textId="77777777" w:rsidR="008E4D82" w:rsidRDefault="009373AD" w:rsidP="009373AD">
            <w:pPr>
              <w:spacing w:after="160" w:line="259" w:lineRule="auto"/>
              <w:jc w:val="right"/>
              <w:rPr>
                <w:rFonts w:eastAsia="Calibri" w:cs="Arial"/>
                <w:color w:val="auto"/>
                <w:lang w:eastAsia="en-US"/>
              </w:rPr>
            </w:pPr>
            <w:r>
              <w:rPr>
                <w:rFonts w:eastAsia="Calibri" w:cs="Arial"/>
                <w:color w:val="auto"/>
                <w:lang w:eastAsia="en-US"/>
              </w:rPr>
              <w:t>824</w:t>
            </w:r>
          </w:p>
        </w:tc>
      </w:tr>
    </w:tbl>
    <w:p w14:paraId="76401B2D" w14:textId="77777777" w:rsidR="008E4D82" w:rsidRPr="0086277C" w:rsidRDefault="008E4D82" w:rsidP="00F4623A">
      <w:pPr>
        <w:pStyle w:val="ListParagraph"/>
        <w:numPr>
          <w:ilvl w:val="0"/>
          <w:numId w:val="0"/>
        </w:numPr>
        <w:ind w:left="426"/>
        <w:rPr>
          <w:rFonts w:eastAsia="Calibri"/>
          <w:lang w:eastAsia="en-US"/>
        </w:rPr>
      </w:pPr>
    </w:p>
    <w:p w14:paraId="145F8469" w14:textId="77777777" w:rsidR="00190F39" w:rsidRPr="000A417B" w:rsidRDefault="00190F39" w:rsidP="008E4D82">
      <w:pPr>
        <w:spacing w:after="160" w:line="259" w:lineRule="auto"/>
        <w:rPr>
          <w:rFonts w:eastAsia="Calibri" w:cs="Arial"/>
          <w:b/>
          <w:color w:val="auto"/>
          <w:lang w:eastAsia="en-US"/>
        </w:rPr>
      </w:pPr>
      <w:r w:rsidRPr="000A417B">
        <w:rPr>
          <w:rFonts w:eastAsia="Calibri" w:cs="Arial"/>
          <w:b/>
          <w:color w:val="auto"/>
          <w:lang w:eastAsia="en-US"/>
        </w:rPr>
        <w:t>11.3 Cost Avoidance and Savings</w:t>
      </w:r>
    </w:p>
    <w:p w14:paraId="2F677BC0" w14:textId="77777777" w:rsidR="008E4D82" w:rsidRPr="0086277C" w:rsidRDefault="008E4D82" w:rsidP="008E4D82">
      <w:pPr>
        <w:spacing w:after="160" w:line="259" w:lineRule="auto"/>
        <w:rPr>
          <w:rFonts w:eastAsia="Calibri" w:cs="Arial"/>
          <w:color w:val="auto"/>
          <w:lang w:eastAsia="en-US"/>
        </w:rPr>
      </w:pPr>
      <w:r w:rsidRPr="0086277C">
        <w:rPr>
          <w:rFonts w:eastAsia="Calibri" w:cs="Arial"/>
          <w:color w:val="auto"/>
          <w:lang w:eastAsia="en-US"/>
        </w:rPr>
        <w:t xml:space="preserve">The transition project provided the opportunity to redesign certain elements of the Council’s ICT </w:t>
      </w:r>
      <w:proofErr w:type="gramStart"/>
      <w:r w:rsidRPr="0086277C">
        <w:rPr>
          <w:rFonts w:eastAsia="Calibri" w:cs="Arial"/>
          <w:color w:val="auto"/>
          <w:lang w:eastAsia="en-US"/>
        </w:rPr>
        <w:t>infrastructure,</w:t>
      </w:r>
      <w:proofErr w:type="gramEnd"/>
      <w:r w:rsidRPr="0086277C">
        <w:rPr>
          <w:rFonts w:eastAsia="Calibri" w:cs="Arial"/>
          <w:color w:val="auto"/>
          <w:lang w:eastAsia="en-US"/>
        </w:rPr>
        <w:t xml:space="preserve"> most notably it facilitated the replacement or upgrade of the majority of its 50 Windows 2003 servers which would otherwise have required extra support licences from July 2016 at an additional cost of £220K pa.</w:t>
      </w:r>
    </w:p>
    <w:p w14:paraId="300332CB" w14:textId="77777777" w:rsidR="008E4D82" w:rsidRPr="0086277C" w:rsidRDefault="008E4D82" w:rsidP="008E4D82">
      <w:pPr>
        <w:spacing w:after="160" w:line="259" w:lineRule="auto"/>
        <w:rPr>
          <w:rFonts w:eastAsia="Calibri" w:cs="Arial"/>
          <w:color w:val="auto"/>
          <w:lang w:eastAsia="en-US"/>
        </w:rPr>
      </w:pPr>
      <w:r w:rsidRPr="0086277C">
        <w:rPr>
          <w:rFonts w:eastAsia="Calibri" w:cs="Arial"/>
          <w:color w:val="auto"/>
          <w:lang w:eastAsia="en-US"/>
        </w:rPr>
        <w:t>Additionally</w:t>
      </w:r>
      <w:r>
        <w:rPr>
          <w:rFonts w:eastAsia="Calibri" w:cs="Arial"/>
          <w:color w:val="auto"/>
          <w:lang w:eastAsia="en-US"/>
        </w:rPr>
        <w:t>,</w:t>
      </w:r>
      <w:r w:rsidRPr="0086277C">
        <w:rPr>
          <w:rFonts w:eastAsia="Calibri" w:cs="Arial"/>
          <w:color w:val="auto"/>
          <w:lang w:eastAsia="en-US"/>
        </w:rPr>
        <w:t xml:space="preserve"> a number of </w:t>
      </w:r>
      <w:r>
        <w:rPr>
          <w:rFonts w:eastAsia="Calibri" w:cs="Arial"/>
          <w:color w:val="auto"/>
          <w:lang w:eastAsia="en-US"/>
        </w:rPr>
        <w:t xml:space="preserve">improvements and </w:t>
      </w:r>
      <w:r w:rsidRPr="0086277C">
        <w:rPr>
          <w:rFonts w:eastAsia="Calibri" w:cs="Arial"/>
          <w:color w:val="auto"/>
          <w:lang w:eastAsia="en-US"/>
        </w:rPr>
        <w:t xml:space="preserve">adjustments to existing </w:t>
      </w:r>
      <w:r>
        <w:rPr>
          <w:rFonts w:eastAsia="Calibri" w:cs="Arial"/>
          <w:color w:val="auto"/>
          <w:lang w:eastAsia="en-US"/>
        </w:rPr>
        <w:t xml:space="preserve">software </w:t>
      </w:r>
      <w:r w:rsidRPr="0086277C">
        <w:rPr>
          <w:rFonts w:eastAsia="Calibri" w:cs="Arial"/>
          <w:color w:val="auto"/>
          <w:lang w:eastAsia="en-US"/>
        </w:rPr>
        <w:t xml:space="preserve">contracts were also made as a result of migration and have generated annual </w:t>
      </w:r>
      <w:r w:rsidR="00DF63C1">
        <w:rPr>
          <w:rFonts w:eastAsia="Calibri" w:cs="Arial"/>
          <w:color w:val="auto"/>
          <w:lang w:eastAsia="en-US"/>
        </w:rPr>
        <w:t xml:space="preserve">budgeted </w:t>
      </w:r>
      <w:r w:rsidRPr="0086277C">
        <w:rPr>
          <w:rFonts w:eastAsia="Calibri" w:cs="Arial"/>
          <w:color w:val="auto"/>
          <w:lang w:eastAsia="en-US"/>
        </w:rPr>
        <w:t>reve</w:t>
      </w:r>
      <w:r w:rsidR="00190F39">
        <w:rPr>
          <w:rFonts w:eastAsia="Calibri" w:cs="Arial"/>
          <w:color w:val="auto"/>
          <w:lang w:eastAsia="en-US"/>
        </w:rPr>
        <w:t>nue savings as set out in below:</w:t>
      </w:r>
    </w:p>
    <w:tbl>
      <w:tblPr>
        <w:tblW w:w="0" w:type="auto"/>
        <w:tblInd w:w="108" w:type="dxa"/>
        <w:tblCellMar>
          <w:left w:w="0" w:type="dxa"/>
          <w:right w:w="0" w:type="dxa"/>
        </w:tblCellMar>
        <w:tblLook w:val="04A0" w:firstRow="1" w:lastRow="0" w:firstColumn="1" w:lastColumn="0" w:noHBand="0" w:noVBand="1"/>
      </w:tblPr>
      <w:tblGrid>
        <w:gridCol w:w="5103"/>
        <w:gridCol w:w="2127"/>
      </w:tblGrid>
      <w:tr w:rsidR="008E4D82" w:rsidRPr="0086277C" w14:paraId="52EE1B14" w14:textId="77777777" w:rsidTr="00F4623A">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C05883" w14:textId="77777777" w:rsidR="008E4D82" w:rsidRPr="0086277C" w:rsidRDefault="008E4D82" w:rsidP="0000196E">
            <w:pPr>
              <w:spacing w:after="160" w:line="259" w:lineRule="auto"/>
              <w:rPr>
                <w:rFonts w:eastAsia="Calibri" w:cs="Arial"/>
                <w:b/>
                <w:color w:val="auto"/>
                <w:lang w:eastAsia="en-US"/>
              </w:rPr>
            </w:pPr>
            <w:r w:rsidRPr="0086277C">
              <w:rPr>
                <w:rFonts w:eastAsia="Calibri" w:cs="Arial"/>
                <w:b/>
                <w:color w:val="auto"/>
                <w:lang w:eastAsia="en-US"/>
              </w:rPr>
              <w:t>System</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046FF" w14:textId="77777777" w:rsidR="008E4D82" w:rsidRDefault="008E4D82" w:rsidP="009373AD">
            <w:pPr>
              <w:spacing w:after="160" w:line="259" w:lineRule="auto"/>
              <w:jc w:val="center"/>
              <w:rPr>
                <w:rFonts w:eastAsia="Calibri" w:cs="Arial"/>
                <w:b/>
                <w:color w:val="auto"/>
                <w:lang w:eastAsia="en-US"/>
              </w:rPr>
            </w:pPr>
            <w:r>
              <w:rPr>
                <w:rFonts w:eastAsia="Calibri" w:cs="Arial"/>
                <w:b/>
                <w:color w:val="auto"/>
                <w:lang w:eastAsia="en-US"/>
              </w:rPr>
              <w:t xml:space="preserve">Annual </w:t>
            </w:r>
            <w:r w:rsidRPr="0086277C">
              <w:rPr>
                <w:rFonts w:eastAsia="Calibri" w:cs="Arial"/>
                <w:b/>
                <w:color w:val="auto"/>
                <w:lang w:eastAsia="en-US"/>
              </w:rPr>
              <w:t>Saving</w:t>
            </w:r>
          </w:p>
          <w:p w14:paraId="6E808152" w14:textId="77777777" w:rsidR="009373AD" w:rsidRPr="0086277C" w:rsidRDefault="009373AD" w:rsidP="009373AD">
            <w:pPr>
              <w:spacing w:after="160" w:line="259" w:lineRule="auto"/>
              <w:jc w:val="center"/>
              <w:rPr>
                <w:rFonts w:eastAsia="Calibri" w:cs="Arial"/>
                <w:b/>
                <w:color w:val="auto"/>
                <w:lang w:eastAsia="en-US"/>
              </w:rPr>
            </w:pPr>
            <w:r>
              <w:rPr>
                <w:rFonts w:eastAsia="Calibri" w:cs="Arial"/>
                <w:b/>
                <w:color w:val="auto"/>
                <w:lang w:eastAsia="en-US"/>
              </w:rPr>
              <w:t>£000’s</w:t>
            </w:r>
          </w:p>
        </w:tc>
      </w:tr>
      <w:tr w:rsidR="008E4D82" w:rsidRPr="0086277C" w14:paraId="023E9E53"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1A483" w14:textId="77777777" w:rsidR="008E4D82" w:rsidRPr="0086277C" w:rsidRDefault="008E4D82" w:rsidP="0000196E">
            <w:pPr>
              <w:spacing w:after="160" w:line="259" w:lineRule="auto"/>
              <w:rPr>
                <w:rFonts w:eastAsia="Calibri" w:cs="Arial"/>
                <w:color w:val="auto"/>
                <w:lang w:eastAsia="en-US"/>
              </w:rPr>
            </w:pPr>
            <w:r w:rsidRPr="0086277C">
              <w:rPr>
                <w:rFonts w:eastAsia="Calibri" w:cs="Arial"/>
                <w:color w:val="auto"/>
                <w:lang w:eastAsia="en-US"/>
              </w:rPr>
              <w:t>Lagan</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560EBB0" w14:textId="77777777" w:rsidR="008E4D82" w:rsidRPr="0086277C" w:rsidRDefault="008E4D82" w:rsidP="009373AD">
            <w:pPr>
              <w:spacing w:after="160" w:line="259" w:lineRule="auto"/>
              <w:jc w:val="right"/>
              <w:rPr>
                <w:rFonts w:eastAsia="Calibri" w:cs="Arial"/>
                <w:color w:val="auto"/>
                <w:lang w:eastAsia="en-US"/>
              </w:rPr>
            </w:pPr>
            <w:r w:rsidRPr="0086277C">
              <w:rPr>
                <w:rFonts w:eastAsia="Calibri" w:cs="Arial"/>
                <w:color w:val="auto"/>
                <w:lang w:eastAsia="en-US"/>
              </w:rPr>
              <w:t>15</w:t>
            </w:r>
            <w:r w:rsidR="009373AD">
              <w:rPr>
                <w:rFonts w:eastAsia="Calibri" w:cs="Arial"/>
                <w:color w:val="auto"/>
                <w:lang w:eastAsia="en-US"/>
              </w:rPr>
              <w:t>.0</w:t>
            </w:r>
          </w:p>
        </w:tc>
      </w:tr>
      <w:tr w:rsidR="008E4D82" w:rsidRPr="0086277C" w14:paraId="7CD5F57E"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C9265" w14:textId="77777777" w:rsidR="008E4D82" w:rsidRPr="0086277C" w:rsidRDefault="008E4D82" w:rsidP="0000196E">
            <w:pPr>
              <w:spacing w:after="160" w:line="259" w:lineRule="auto"/>
              <w:rPr>
                <w:rFonts w:eastAsia="Calibri" w:cs="Arial"/>
                <w:color w:val="auto"/>
                <w:lang w:eastAsia="en-US"/>
              </w:rPr>
            </w:pPr>
            <w:r w:rsidRPr="0086277C">
              <w:rPr>
                <w:rFonts w:eastAsia="Calibri" w:cs="Arial"/>
                <w:color w:val="auto"/>
                <w:lang w:eastAsia="en-US"/>
              </w:rPr>
              <w:lastRenderedPageBreak/>
              <w:t>NDL</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F990809" w14:textId="77777777" w:rsidR="008E4D82" w:rsidRPr="0086277C" w:rsidRDefault="008E4D82" w:rsidP="009373AD">
            <w:pPr>
              <w:spacing w:after="160" w:line="259" w:lineRule="auto"/>
              <w:jc w:val="right"/>
              <w:rPr>
                <w:rFonts w:eastAsia="Calibri" w:cs="Arial"/>
                <w:color w:val="auto"/>
                <w:lang w:eastAsia="en-US"/>
              </w:rPr>
            </w:pPr>
            <w:r w:rsidRPr="0086277C">
              <w:rPr>
                <w:rFonts w:eastAsia="Calibri" w:cs="Arial"/>
                <w:color w:val="auto"/>
                <w:lang w:eastAsia="en-US"/>
              </w:rPr>
              <w:t>17.5</w:t>
            </w:r>
          </w:p>
        </w:tc>
      </w:tr>
      <w:tr w:rsidR="008E4D82" w:rsidRPr="0086277C" w14:paraId="3BF85D5C"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7D3C4" w14:textId="77777777" w:rsidR="008E4D82" w:rsidRPr="0086277C" w:rsidRDefault="008E4D82" w:rsidP="0000196E">
            <w:pPr>
              <w:spacing w:after="160" w:line="259" w:lineRule="auto"/>
              <w:rPr>
                <w:rFonts w:eastAsia="Calibri" w:cs="Arial"/>
                <w:color w:val="auto"/>
                <w:lang w:eastAsia="en-US"/>
              </w:rPr>
            </w:pPr>
            <w:r w:rsidRPr="0086277C">
              <w:rPr>
                <w:rFonts w:eastAsia="Calibri" w:cs="Arial"/>
                <w:color w:val="auto"/>
                <w:lang w:eastAsia="en-US"/>
              </w:rPr>
              <w:t>Huddle</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3C3DCBE" w14:textId="77777777" w:rsidR="008E4D82" w:rsidRPr="0086277C" w:rsidRDefault="008E4D82" w:rsidP="009373AD">
            <w:pPr>
              <w:spacing w:after="160" w:line="259" w:lineRule="auto"/>
              <w:jc w:val="right"/>
              <w:rPr>
                <w:rFonts w:eastAsia="Calibri" w:cs="Arial"/>
                <w:color w:val="auto"/>
                <w:lang w:eastAsia="en-US"/>
              </w:rPr>
            </w:pPr>
            <w:r w:rsidRPr="0086277C">
              <w:rPr>
                <w:rFonts w:eastAsia="Calibri" w:cs="Arial"/>
                <w:color w:val="auto"/>
                <w:lang w:eastAsia="en-US"/>
              </w:rPr>
              <w:t>5.0</w:t>
            </w:r>
          </w:p>
        </w:tc>
      </w:tr>
      <w:tr w:rsidR="008E4D82" w:rsidRPr="0086277C" w14:paraId="3A2A7439"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26179" w14:textId="77777777" w:rsidR="008E4D82" w:rsidRPr="0086277C" w:rsidRDefault="008E4D82" w:rsidP="0000196E">
            <w:pPr>
              <w:spacing w:after="160" w:line="259" w:lineRule="auto"/>
              <w:rPr>
                <w:rFonts w:eastAsia="Calibri" w:cs="Arial"/>
                <w:color w:val="auto"/>
                <w:lang w:eastAsia="en-US"/>
              </w:rPr>
            </w:pPr>
            <w:r w:rsidRPr="0086277C">
              <w:rPr>
                <w:rFonts w:eastAsia="Calibri" w:cs="Arial"/>
                <w:color w:val="auto"/>
                <w:lang w:eastAsia="en-US"/>
              </w:rPr>
              <w:t>VI Scanning</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C022AA3" w14:textId="77777777" w:rsidR="008E4D82" w:rsidRPr="0086277C" w:rsidRDefault="008E4D82" w:rsidP="009373AD">
            <w:pPr>
              <w:spacing w:after="160" w:line="259" w:lineRule="auto"/>
              <w:jc w:val="right"/>
              <w:rPr>
                <w:rFonts w:eastAsia="Calibri" w:cs="Arial"/>
                <w:color w:val="auto"/>
                <w:lang w:eastAsia="en-US"/>
              </w:rPr>
            </w:pPr>
            <w:r w:rsidRPr="0086277C">
              <w:rPr>
                <w:rFonts w:eastAsia="Calibri" w:cs="Arial"/>
                <w:color w:val="auto"/>
                <w:lang w:eastAsia="en-US"/>
              </w:rPr>
              <w:t>4.5</w:t>
            </w:r>
          </w:p>
        </w:tc>
      </w:tr>
      <w:tr w:rsidR="008E4D82" w:rsidRPr="0086277C" w14:paraId="3DBFC081"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993B7" w14:textId="77777777" w:rsidR="008E4D82" w:rsidRPr="0086277C" w:rsidRDefault="008E4D82" w:rsidP="0000196E">
            <w:pPr>
              <w:spacing w:after="160" w:line="259" w:lineRule="auto"/>
              <w:rPr>
                <w:rFonts w:eastAsia="Calibri" w:cs="Arial"/>
                <w:color w:val="auto"/>
                <w:lang w:eastAsia="en-US"/>
              </w:rPr>
            </w:pPr>
            <w:r w:rsidRPr="0086277C">
              <w:rPr>
                <w:rFonts w:eastAsia="Calibri" w:cs="Arial"/>
                <w:color w:val="auto"/>
                <w:lang w:eastAsia="en-US"/>
              </w:rPr>
              <w:t>SQL Database Licences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F648143" w14:textId="77777777" w:rsidR="008E4D82" w:rsidRPr="0086277C" w:rsidRDefault="008E4D82" w:rsidP="009373AD">
            <w:pPr>
              <w:spacing w:after="160" w:line="259" w:lineRule="auto"/>
              <w:jc w:val="right"/>
              <w:rPr>
                <w:rFonts w:eastAsia="Calibri" w:cs="Arial"/>
                <w:color w:val="auto"/>
                <w:lang w:eastAsia="en-US"/>
              </w:rPr>
            </w:pPr>
            <w:r w:rsidRPr="0086277C">
              <w:rPr>
                <w:rFonts w:eastAsia="Calibri" w:cs="Arial"/>
                <w:color w:val="auto"/>
                <w:lang w:eastAsia="en-US"/>
              </w:rPr>
              <w:t>20.0</w:t>
            </w:r>
          </w:p>
        </w:tc>
      </w:tr>
      <w:tr w:rsidR="008E4D82" w:rsidRPr="0086277C" w14:paraId="1D131FAD"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8F48D" w14:textId="77777777" w:rsidR="008E4D82" w:rsidRPr="0086277C" w:rsidRDefault="008E4D82" w:rsidP="0000196E">
            <w:pPr>
              <w:spacing w:after="160" w:line="259" w:lineRule="auto"/>
              <w:rPr>
                <w:rFonts w:eastAsia="Calibri" w:cs="Arial"/>
                <w:color w:val="auto"/>
                <w:lang w:eastAsia="en-US"/>
              </w:rPr>
            </w:pPr>
            <w:r w:rsidRPr="0086277C">
              <w:rPr>
                <w:rFonts w:eastAsia="Calibri" w:cs="Arial"/>
                <w:color w:val="auto"/>
                <w:lang w:eastAsia="en-US"/>
              </w:rPr>
              <w:t>SAP Business Objects Licences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9DA76FB" w14:textId="77777777" w:rsidR="008E4D82" w:rsidRPr="0086277C" w:rsidRDefault="008E4D82" w:rsidP="009373AD">
            <w:pPr>
              <w:spacing w:after="160" w:line="259" w:lineRule="auto"/>
              <w:jc w:val="right"/>
              <w:rPr>
                <w:rFonts w:eastAsia="Calibri" w:cs="Arial"/>
                <w:color w:val="auto"/>
                <w:lang w:eastAsia="en-US"/>
              </w:rPr>
            </w:pPr>
            <w:r w:rsidRPr="0086277C">
              <w:rPr>
                <w:rFonts w:eastAsia="Calibri" w:cs="Arial"/>
                <w:color w:val="auto"/>
                <w:lang w:eastAsia="en-US"/>
              </w:rPr>
              <w:t>6.5</w:t>
            </w:r>
          </w:p>
        </w:tc>
      </w:tr>
      <w:tr w:rsidR="008E4D82" w:rsidRPr="0086277C" w14:paraId="58B47E1B" w14:textId="77777777" w:rsidTr="00F4623A">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30350" w14:textId="77777777" w:rsidR="008E4D82" w:rsidRPr="0086277C" w:rsidRDefault="008E4D82" w:rsidP="0000196E">
            <w:pPr>
              <w:spacing w:after="160" w:line="259" w:lineRule="auto"/>
              <w:rPr>
                <w:rFonts w:eastAsia="Calibri" w:cs="Arial"/>
                <w:b/>
                <w:color w:val="auto"/>
                <w:lang w:eastAsia="en-US"/>
              </w:rPr>
            </w:pPr>
            <w:r w:rsidRPr="0086277C">
              <w:rPr>
                <w:rFonts w:eastAsia="Calibri" w:cs="Arial"/>
                <w:b/>
                <w:color w:val="auto"/>
                <w:lang w:eastAsia="en-US"/>
              </w:rPr>
              <w:t>Total</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B92C5A1" w14:textId="77777777" w:rsidR="008E4D82" w:rsidRPr="0086277C" w:rsidRDefault="008E4D82" w:rsidP="009373AD">
            <w:pPr>
              <w:spacing w:after="160" w:line="259" w:lineRule="auto"/>
              <w:jc w:val="right"/>
              <w:rPr>
                <w:rFonts w:eastAsia="Calibri" w:cs="Arial"/>
                <w:b/>
                <w:color w:val="auto"/>
                <w:lang w:eastAsia="en-US"/>
              </w:rPr>
            </w:pPr>
            <w:r w:rsidRPr="0086277C">
              <w:rPr>
                <w:rFonts w:eastAsia="Calibri" w:cs="Arial"/>
                <w:b/>
                <w:color w:val="auto"/>
                <w:lang w:eastAsia="en-US"/>
              </w:rPr>
              <w:t>68.5</w:t>
            </w:r>
          </w:p>
        </w:tc>
      </w:tr>
    </w:tbl>
    <w:p w14:paraId="1F56A4FB" w14:textId="77777777" w:rsidR="008E4D82" w:rsidRPr="0086277C" w:rsidRDefault="008E4D82" w:rsidP="008E4D82">
      <w:pPr>
        <w:spacing w:after="160" w:line="259" w:lineRule="auto"/>
        <w:rPr>
          <w:rFonts w:eastAsia="Calibri" w:cs="Arial"/>
          <w:color w:val="auto"/>
          <w:lang w:eastAsia="en-US"/>
        </w:rPr>
      </w:pPr>
    </w:p>
    <w:p w14:paraId="5A03FC7C" w14:textId="77777777" w:rsidR="008E4D82" w:rsidRPr="00671C34" w:rsidRDefault="008D64FC" w:rsidP="000A417B">
      <w:pPr>
        <w:tabs>
          <w:tab w:val="left" w:pos="426"/>
          <w:tab w:val="left" w:pos="851"/>
        </w:tabs>
        <w:rPr>
          <w:b/>
        </w:rPr>
      </w:pPr>
      <w:r w:rsidRPr="00671C34">
        <w:rPr>
          <w:b/>
        </w:rPr>
        <w:t>12</w:t>
      </w:r>
      <w:r w:rsidR="007E6338">
        <w:rPr>
          <w:b/>
        </w:rPr>
        <w:t>.</w:t>
      </w:r>
      <w:r w:rsidRPr="00671C34">
        <w:rPr>
          <w:b/>
        </w:rPr>
        <w:tab/>
        <w:t>Financial Implications</w:t>
      </w:r>
    </w:p>
    <w:p w14:paraId="65FA0FF0" w14:textId="5C2C4DD0" w:rsidR="008D64FC" w:rsidRDefault="008D64FC" w:rsidP="004A0A55">
      <w:r>
        <w:t xml:space="preserve">The </w:t>
      </w:r>
      <w:r w:rsidR="00194F1C">
        <w:t xml:space="preserve">City </w:t>
      </w:r>
      <w:r>
        <w:t xml:space="preserve">Council has made a saving </w:t>
      </w:r>
      <w:r w:rsidR="00DF63C1">
        <w:t xml:space="preserve">on services previously provided by the County Council of </w:t>
      </w:r>
      <w:r>
        <w:t>£150k per annum</w:t>
      </w:r>
      <w:r w:rsidR="00DF63C1">
        <w:t xml:space="preserve">. Additional budgeted savings were also made during migration on </w:t>
      </w:r>
      <w:r w:rsidR="006B3B5E">
        <w:t xml:space="preserve">software charges of £68.5k per annum. The transition also enabled </w:t>
      </w:r>
      <w:r w:rsidR="002D09AA">
        <w:t xml:space="preserve">the </w:t>
      </w:r>
      <w:r w:rsidR="00194F1C">
        <w:t xml:space="preserve">City </w:t>
      </w:r>
      <w:r w:rsidR="002D09AA">
        <w:t xml:space="preserve">Council to save </w:t>
      </w:r>
      <w:r w:rsidR="006B3B5E">
        <w:t xml:space="preserve">around £220k per annum of Windows Support license costs which might otherwise have been incurred. </w:t>
      </w:r>
      <w:r>
        <w:t>Transitional project costs, totalling £900k were budgeted for and costs have been roughly in line with this.</w:t>
      </w:r>
      <w:r w:rsidR="006B3B5E">
        <w:t xml:space="preserve"> </w:t>
      </w:r>
      <w:r>
        <w:t xml:space="preserve">    </w:t>
      </w:r>
    </w:p>
    <w:p w14:paraId="454263CC" w14:textId="77777777" w:rsidR="008E4D82" w:rsidRPr="004A0A55" w:rsidRDefault="008E4D82" w:rsidP="004A0A55"/>
    <w:p w14:paraId="1EFB5B62" w14:textId="77777777" w:rsidR="0040736F" w:rsidRPr="00671C34" w:rsidRDefault="007E6338" w:rsidP="00671C34">
      <w:pPr>
        <w:rPr>
          <w:b/>
        </w:rPr>
      </w:pPr>
      <w:r>
        <w:rPr>
          <w:b/>
        </w:rPr>
        <w:t xml:space="preserve">13. </w:t>
      </w:r>
      <w:r w:rsidR="00DA614B" w:rsidRPr="00671C34">
        <w:rPr>
          <w:b/>
        </w:rPr>
        <w:t>Legal issues</w:t>
      </w:r>
    </w:p>
    <w:p w14:paraId="2BED8303" w14:textId="77777777" w:rsidR="00E87F7A" w:rsidRPr="001356F1" w:rsidRDefault="004A0A55" w:rsidP="004A0A55">
      <w:r>
        <w:t>There are no legal implications arising from the lessons learnt.</w:t>
      </w:r>
    </w:p>
    <w:p w14:paraId="51C7DDB6" w14:textId="77777777" w:rsidR="004A0A55" w:rsidRDefault="004A0A55" w:rsidP="00E87F7A">
      <w:pPr>
        <w:pStyle w:val="Heading1"/>
      </w:pPr>
    </w:p>
    <w:p w14:paraId="7B915DDD" w14:textId="77777777" w:rsidR="00E206D6" w:rsidRPr="001356F1" w:rsidRDefault="003D3980" w:rsidP="00910DCB">
      <w:pPr>
        <w:ind w:left="426" w:hanging="426"/>
      </w:pPr>
      <w:r>
        <w:rPr>
          <w:b/>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FDA121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2CAE3D2"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C929E93" w14:textId="77777777" w:rsidR="00E87F7A" w:rsidRPr="001356F1" w:rsidRDefault="00910DCB" w:rsidP="00A46E98">
            <w:r>
              <w:t>Helen Bishop</w:t>
            </w:r>
          </w:p>
        </w:tc>
      </w:tr>
      <w:tr w:rsidR="00DF093E" w:rsidRPr="001356F1" w14:paraId="0ADBCFE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BF5E2E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30DFE26" w14:textId="77777777" w:rsidR="00E87F7A" w:rsidRPr="001356F1" w:rsidRDefault="00910DCB" w:rsidP="00A46E98">
            <w:r>
              <w:t>Head of Business Improvement</w:t>
            </w:r>
          </w:p>
        </w:tc>
      </w:tr>
      <w:tr w:rsidR="00DF093E" w:rsidRPr="001356F1" w14:paraId="0365072A" w14:textId="77777777" w:rsidTr="00A46E98">
        <w:trPr>
          <w:cantSplit/>
          <w:trHeight w:val="396"/>
        </w:trPr>
        <w:tc>
          <w:tcPr>
            <w:tcW w:w="3969" w:type="dxa"/>
            <w:tcBorders>
              <w:top w:val="nil"/>
              <w:left w:val="single" w:sz="8" w:space="0" w:color="000000"/>
              <w:bottom w:val="nil"/>
              <w:right w:val="nil"/>
            </w:tcBorders>
            <w:shd w:val="clear" w:color="auto" w:fill="auto"/>
          </w:tcPr>
          <w:p w14:paraId="2DC45B9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0FA74F0" w14:textId="77777777" w:rsidR="00E87F7A" w:rsidRPr="001356F1" w:rsidRDefault="00910DCB" w:rsidP="00A46E98">
            <w:r>
              <w:t>Business Improvement</w:t>
            </w:r>
          </w:p>
        </w:tc>
      </w:tr>
      <w:tr w:rsidR="00DF093E" w:rsidRPr="001356F1" w14:paraId="2D7C4DCF" w14:textId="77777777" w:rsidTr="00A46E98">
        <w:trPr>
          <w:cantSplit/>
          <w:trHeight w:val="396"/>
        </w:trPr>
        <w:tc>
          <w:tcPr>
            <w:tcW w:w="3969" w:type="dxa"/>
            <w:tcBorders>
              <w:top w:val="nil"/>
              <w:left w:val="single" w:sz="8" w:space="0" w:color="000000"/>
              <w:bottom w:val="nil"/>
              <w:right w:val="nil"/>
            </w:tcBorders>
            <w:shd w:val="clear" w:color="auto" w:fill="auto"/>
          </w:tcPr>
          <w:p w14:paraId="55D07FE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AC833E9" w14:textId="77777777" w:rsidR="00E87F7A" w:rsidRPr="001356F1" w:rsidRDefault="00E87F7A" w:rsidP="00A46E98">
            <w:r w:rsidRPr="001356F1">
              <w:t xml:space="preserve">01865 </w:t>
            </w:r>
            <w:r w:rsidR="00910DCB">
              <w:t>252333</w:t>
            </w:r>
          </w:p>
        </w:tc>
      </w:tr>
      <w:tr w:rsidR="005570B5" w:rsidRPr="001356F1" w14:paraId="42054B4F"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4C1C1B6"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8312FD7" w14:textId="77777777" w:rsidR="00E87F7A" w:rsidRPr="001356F1" w:rsidRDefault="00910DCB" w:rsidP="00A46E98">
            <w:pPr>
              <w:rPr>
                <w:rStyle w:val="Hyperlink"/>
                <w:color w:val="000000"/>
              </w:rPr>
            </w:pPr>
            <w:r>
              <w:rPr>
                <w:rStyle w:val="Hyperlink"/>
                <w:color w:val="000000"/>
              </w:rPr>
              <w:t>hbishop@oxford.gov.uk</w:t>
            </w:r>
          </w:p>
        </w:tc>
      </w:tr>
    </w:tbl>
    <w:p w14:paraId="6026E75F" w14:textId="77777777" w:rsidR="00433B96" w:rsidRPr="001356F1" w:rsidRDefault="00433B96" w:rsidP="004A6D2F"/>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093A6C26" w14:textId="77777777" w:rsidTr="0010279A">
        <w:tc>
          <w:tcPr>
            <w:tcW w:w="8931" w:type="dxa"/>
            <w:tcBorders>
              <w:top w:val="single" w:sz="4" w:space="0" w:color="auto"/>
              <w:left w:val="single" w:sz="4" w:space="0" w:color="auto"/>
              <w:bottom w:val="single" w:sz="8" w:space="0" w:color="000000"/>
              <w:right w:val="single" w:sz="4" w:space="0" w:color="auto"/>
            </w:tcBorders>
            <w:shd w:val="clear" w:color="auto" w:fill="auto"/>
          </w:tcPr>
          <w:p w14:paraId="4F8700E7"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33DBE01" w14:textId="77777777" w:rsidR="00CE4C87" w:rsidRDefault="00CE4C87" w:rsidP="0093067A"/>
    <w:p w14:paraId="32AF0082" w14:textId="77777777"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DC83" w14:textId="77777777" w:rsidR="00480EA8" w:rsidRDefault="00480EA8" w:rsidP="004A6D2F">
      <w:r>
        <w:separator/>
      </w:r>
    </w:p>
  </w:endnote>
  <w:endnote w:type="continuationSeparator" w:id="0">
    <w:p w14:paraId="3BE9D9CC" w14:textId="77777777" w:rsidR="00480EA8" w:rsidRDefault="00480EA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3ECC" w14:textId="77777777" w:rsidR="00364FAD" w:rsidRDefault="00364FAD" w:rsidP="004A6D2F">
    <w:pPr>
      <w:pStyle w:val="Footer"/>
    </w:pPr>
    <w:r>
      <w:t>Do not use a footer or page numbers.</w:t>
    </w:r>
  </w:p>
  <w:p w14:paraId="40F7D913" w14:textId="77777777" w:rsidR="00364FAD" w:rsidRDefault="00364FAD" w:rsidP="004A6D2F">
    <w:pPr>
      <w:pStyle w:val="Footer"/>
    </w:pPr>
  </w:p>
  <w:p w14:paraId="7F4F73E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D048"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C27C9" w14:textId="77777777" w:rsidR="00480EA8" w:rsidRDefault="00480EA8" w:rsidP="004A6D2F">
      <w:r>
        <w:separator/>
      </w:r>
    </w:p>
  </w:footnote>
  <w:footnote w:type="continuationSeparator" w:id="0">
    <w:p w14:paraId="7C3F9578" w14:textId="77777777" w:rsidR="00480EA8" w:rsidRDefault="00480EA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E4253" w14:textId="77777777" w:rsidR="00D5547E" w:rsidRDefault="00F44C37" w:rsidP="00D5547E">
    <w:pPr>
      <w:pStyle w:val="Header"/>
      <w:jc w:val="right"/>
    </w:pPr>
    <w:r>
      <w:rPr>
        <w:noProof/>
      </w:rPr>
      <w:drawing>
        <wp:inline distT="0" distB="0" distL="0" distR="0" wp14:anchorId="0A0260CB" wp14:editId="1847F1E3">
          <wp:extent cx="838835" cy="1115695"/>
          <wp:effectExtent l="0" t="0" r="0" b="825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1115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204E77"/>
    <w:multiLevelType w:val="hybridMultilevel"/>
    <w:tmpl w:val="D70C98F8"/>
    <w:lvl w:ilvl="0" w:tplc="642C7DA0">
      <w:start w:val="254"/>
      <w:numFmt w:val="bullet"/>
      <w:lvlText w:val=""/>
      <w:lvlJc w:val="left"/>
      <w:pPr>
        <w:ind w:left="1140" w:hanging="360"/>
      </w:pPr>
      <w:rPr>
        <w:rFonts w:ascii="Symbol" w:eastAsia="Times New Roman" w:hAnsi="Symbo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FD4484"/>
    <w:multiLevelType w:val="multilevel"/>
    <w:tmpl w:val="595C95C2"/>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932223"/>
    <w:multiLevelType w:val="multilevel"/>
    <w:tmpl w:val="C09241AE"/>
    <w:lvl w:ilvl="0">
      <w:start w:val="3"/>
      <w:numFmt w:val="bullet"/>
      <w:lvlText w:val="-"/>
      <w:lvlJc w:val="left"/>
      <w:pPr>
        <w:ind w:left="720" w:hanging="360"/>
      </w:pPr>
      <w:rPr>
        <w:rFonts w:ascii="Arial" w:eastAsia="Times New Roman" w:hAnsi="Arial" w:cs="Aria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1C5A0F"/>
    <w:multiLevelType w:val="hybridMultilevel"/>
    <w:tmpl w:val="B37ACC02"/>
    <w:lvl w:ilvl="0" w:tplc="BA827F64">
      <w:start w:val="2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abstractNum w:abstractNumId="37">
    <w:nsid w:val="7F717575"/>
    <w:multiLevelType w:val="hybridMultilevel"/>
    <w:tmpl w:val="42EEF9C2"/>
    <w:lvl w:ilvl="0" w:tplc="41EC47F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24"/>
  </w:num>
  <w:num w:numId="4">
    <w:abstractNumId w:val="19"/>
  </w:num>
  <w:num w:numId="5">
    <w:abstractNumId w:val="31"/>
  </w:num>
  <w:num w:numId="6">
    <w:abstractNumId w:val="35"/>
  </w:num>
  <w:num w:numId="7">
    <w:abstractNumId w:val="22"/>
  </w:num>
  <w:num w:numId="8">
    <w:abstractNumId w:val="20"/>
  </w:num>
  <w:num w:numId="9">
    <w:abstractNumId w:val="14"/>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2"/>
  </w:num>
  <w:num w:numId="20">
    <w:abstractNumId w:val="18"/>
  </w:num>
  <w:num w:numId="21">
    <w:abstractNumId w:val="21"/>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37"/>
  </w:num>
  <w:num w:numId="36">
    <w:abstractNumId w:val="27"/>
  </w:num>
  <w:num w:numId="37">
    <w:abstractNumId w:val="30"/>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37"/>
    <w:rsid w:val="000117D4"/>
    <w:rsid w:val="000314D7"/>
    <w:rsid w:val="000406C1"/>
    <w:rsid w:val="00045F8B"/>
    <w:rsid w:val="00046D2B"/>
    <w:rsid w:val="00056263"/>
    <w:rsid w:val="00064D8A"/>
    <w:rsid w:val="00064F82"/>
    <w:rsid w:val="00066510"/>
    <w:rsid w:val="00077523"/>
    <w:rsid w:val="000815F9"/>
    <w:rsid w:val="000A417B"/>
    <w:rsid w:val="000A5D82"/>
    <w:rsid w:val="000A74DD"/>
    <w:rsid w:val="000C089F"/>
    <w:rsid w:val="000C3928"/>
    <w:rsid w:val="000C5E8E"/>
    <w:rsid w:val="000F4751"/>
    <w:rsid w:val="0010279A"/>
    <w:rsid w:val="00102974"/>
    <w:rsid w:val="0010524C"/>
    <w:rsid w:val="00111FB1"/>
    <w:rsid w:val="00113418"/>
    <w:rsid w:val="001356F1"/>
    <w:rsid w:val="00136994"/>
    <w:rsid w:val="0014128E"/>
    <w:rsid w:val="00151888"/>
    <w:rsid w:val="0015264A"/>
    <w:rsid w:val="00155631"/>
    <w:rsid w:val="00170A2D"/>
    <w:rsid w:val="00175B3C"/>
    <w:rsid w:val="001808BC"/>
    <w:rsid w:val="00182B81"/>
    <w:rsid w:val="0018619D"/>
    <w:rsid w:val="00190F39"/>
    <w:rsid w:val="00194F1C"/>
    <w:rsid w:val="001A011E"/>
    <w:rsid w:val="001A066A"/>
    <w:rsid w:val="001A13E6"/>
    <w:rsid w:val="001A5731"/>
    <w:rsid w:val="001A6AEE"/>
    <w:rsid w:val="001B42C3"/>
    <w:rsid w:val="001C5D5E"/>
    <w:rsid w:val="001D678D"/>
    <w:rsid w:val="001E03F8"/>
    <w:rsid w:val="001E1678"/>
    <w:rsid w:val="001E3376"/>
    <w:rsid w:val="001E6F54"/>
    <w:rsid w:val="002069B3"/>
    <w:rsid w:val="002329CF"/>
    <w:rsid w:val="00232F5B"/>
    <w:rsid w:val="00237F0C"/>
    <w:rsid w:val="00247C29"/>
    <w:rsid w:val="00260467"/>
    <w:rsid w:val="00263EA3"/>
    <w:rsid w:val="00284F85"/>
    <w:rsid w:val="00290915"/>
    <w:rsid w:val="002A22E2"/>
    <w:rsid w:val="002C64F7"/>
    <w:rsid w:val="002D09AA"/>
    <w:rsid w:val="002F41F2"/>
    <w:rsid w:val="00301BF3"/>
    <w:rsid w:val="0030208D"/>
    <w:rsid w:val="00320BC4"/>
    <w:rsid w:val="00323418"/>
    <w:rsid w:val="003357BF"/>
    <w:rsid w:val="00364FAD"/>
    <w:rsid w:val="0036738F"/>
    <w:rsid w:val="0036759C"/>
    <w:rsid w:val="00367AE5"/>
    <w:rsid w:val="00367D71"/>
    <w:rsid w:val="0038150A"/>
    <w:rsid w:val="00384EF0"/>
    <w:rsid w:val="00387176"/>
    <w:rsid w:val="00397BAD"/>
    <w:rsid w:val="003A22B4"/>
    <w:rsid w:val="003B6E75"/>
    <w:rsid w:val="003B7DA1"/>
    <w:rsid w:val="003D0379"/>
    <w:rsid w:val="003D2574"/>
    <w:rsid w:val="003D3980"/>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0EA8"/>
    <w:rsid w:val="00491046"/>
    <w:rsid w:val="004A0A55"/>
    <w:rsid w:val="004A2AC7"/>
    <w:rsid w:val="004A4A69"/>
    <w:rsid w:val="004A6D2F"/>
    <w:rsid w:val="004C2887"/>
    <w:rsid w:val="004D2626"/>
    <w:rsid w:val="004D6E26"/>
    <w:rsid w:val="004D77D3"/>
    <w:rsid w:val="004E2959"/>
    <w:rsid w:val="004F20EF"/>
    <w:rsid w:val="0050321C"/>
    <w:rsid w:val="00507761"/>
    <w:rsid w:val="0054712D"/>
    <w:rsid w:val="00547EF6"/>
    <w:rsid w:val="005570B5"/>
    <w:rsid w:val="00560B29"/>
    <w:rsid w:val="00567E18"/>
    <w:rsid w:val="00575F5F"/>
    <w:rsid w:val="00581805"/>
    <w:rsid w:val="00585F76"/>
    <w:rsid w:val="00586F0F"/>
    <w:rsid w:val="00590882"/>
    <w:rsid w:val="005A34E4"/>
    <w:rsid w:val="005B17F2"/>
    <w:rsid w:val="005B7FB0"/>
    <w:rsid w:val="005C35A5"/>
    <w:rsid w:val="005C577C"/>
    <w:rsid w:val="005D0621"/>
    <w:rsid w:val="005D1E27"/>
    <w:rsid w:val="005D2A3E"/>
    <w:rsid w:val="005E022E"/>
    <w:rsid w:val="005E5215"/>
    <w:rsid w:val="005F7F7E"/>
    <w:rsid w:val="00614693"/>
    <w:rsid w:val="00623C2F"/>
    <w:rsid w:val="006251FA"/>
    <w:rsid w:val="006322F2"/>
    <w:rsid w:val="00633578"/>
    <w:rsid w:val="00637068"/>
    <w:rsid w:val="00650811"/>
    <w:rsid w:val="00661D3E"/>
    <w:rsid w:val="00671C34"/>
    <w:rsid w:val="00692627"/>
    <w:rsid w:val="006969E7"/>
    <w:rsid w:val="006A3643"/>
    <w:rsid w:val="006B3B5E"/>
    <w:rsid w:val="006C2A29"/>
    <w:rsid w:val="006C64CF"/>
    <w:rsid w:val="006D17B1"/>
    <w:rsid w:val="006D289B"/>
    <w:rsid w:val="006D4752"/>
    <w:rsid w:val="006D708A"/>
    <w:rsid w:val="006E14C1"/>
    <w:rsid w:val="006E6941"/>
    <w:rsid w:val="006F0292"/>
    <w:rsid w:val="006F27FA"/>
    <w:rsid w:val="006F416B"/>
    <w:rsid w:val="006F519B"/>
    <w:rsid w:val="00713675"/>
    <w:rsid w:val="00715823"/>
    <w:rsid w:val="00737B93"/>
    <w:rsid w:val="00745BF0"/>
    <w:rsid w:val="00753D6C"/>
    <w:rsid w:val="007615FE"/>
    <w:rsid w:val="0076655C"/>
    <w:rsid w:val="007742DC"/>
    <w:rsid w:val="00790528"/>
    <w:rsid w:val="00791437"/>
    <w:rsid w:val="007B0C2C"/>
    <w:rsid w:val="007B278E"/>
    <w:rsid w:val="007C5C23"/>
    <w:rsid w:val="007E2A26"/>
    <w:rsid w:val="007E4CA4"/>
    <w:rsid w:val="007E59D7"/>
    <w:rsid w:val="007E6338"/>
    <w:rsid w:val="007F2348"/>
    <w:rsid w:val="00803F07"/>
    <w:rsid w:val="0080749A"/>
    <w:rsid w:val="00821FB8"/>
    <w:rsid w:val="00822ACD"/>
    <w:rsid w:val="008309D0"/>
    <w:rsid w:val="00834B54"/>
    <w:rsid w:val="00854ECA"/>
    <w:rsid w:val="00855C66"/>
    <w:rsid w:val="0086277C"/>
    <w:rsid w:val="00871EE4"/>
    <w:rsid w:val="008B293F"/>
    <w:rsid w:val="008B7371"/>
    <w:rsid w:val="008D3DDB"/>
    <w:rsid w:val="008D64FC"/>
    <w:rsid w:val="008E4D82"/>
    <w:rsid w:val="008F573F"/>
    <w:rsid w:val="009034EC"/>
    <w:rsid w:val="009041A5"/>
    <w:rsid w:val="00910DCB"/>
    <w:rsid w:val="0093067A"/>
    <w:rsid w:val="009373AD"/>
    <w:rsid w:val="00941C60"/>
    <w:rsid w:val="00941FD1"/>
    <w:rsid w:val="00965548"/>
    <w:rsid w:val="00966D42"/>
    <w:rsid w:val="00971689"/>
    <w:rsid w:val="00973E90"/>
    <w:rsid w:val="00975B07"/>
    <w:rsid w:val="00980B4A"/>
    <w:rsid w:val="00981BB9"/>
    <w:rsid w:val="009E3D0A"/>
    <w:rsid w:val="009E51FC"/>
    <w:rsid w:val="009E589D"/>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AF0724"/>
    <w:rsid w:val="00AF72C5"/>
    <w:rsid w:val="00B500CA"/>
    <w:rsid w:val="00B778DC"/>
    <w:rsid w:val="00B86314"/>
    <w:rsid w:val="00BA1C2E"/>
    <w:rsid w:val="00BC200B"/>
    <w:rsid w:val="00BC4756"/>
    <w:rsid w:val="00BC69A4"/>
    <w:rsid w:val="00BD047D"/>
    <w:rsid w:val="00BE0680"/>
    <w:rsid w:val="00BE305F"/>
    <w:rsid w:val="00BE5253"/>
    <w:rsid w:val="00BE7BA3"/>
    <w:rsid w:val="00BE7C7E"/>
    <w:rsid w:val="00BF5682"/>
    <w:rsid w:val="00BF7B09"/>
    <w:rsid w:val="00C1677D"/>
    <w:rsid w:val="00C20A95"/>
    <w:rsid w:val="00C2692F"/>
    <w:rsid w:val="00C3207C"/>
    <w:rsid w:val="00C400E1"/>
    <w:rsid w:val="00C41187"/>
    <w:rsid w:val="00C535E3"/>
    <w:rsid w:val="00C56AD2"/>
    <w:rsid w:val="00C63C31"/>
    <w:rsid w:val="00C757A0"/>
    <w:rsid w:val="00C760DE"/>
    <w:rsid w:val="00C82630"/>
    <w:rsid w:val="00C85B4E"/>
    <w:rsid w:val="00C907F7"/>
    <w:rsid w:val="00CA2103"/>
    <w:rsid w:val="00CA3815"/>
    <w:rsid w:val="00CB6B99"/>
    <w:rsid w:val="00CD324E"/>
    <w:rsid w:val="00CE4C87"/>
    <w:rsid w:val="00CE544A"/>
    <w:rsid w:val="00D11E1C"/>
    <w:rsid w:val="00D160B0"/>
    <w:rsid w:val="00D17F94"/>
    <w:rsid w:val="00D223FC"/>
    <w:rsid w:val="00D26D1E"/>
    <w:rsid w:val="00D474CF"/>
    <w:rsid w:val="00D5547E"/>
    <w:rsid w:val="00D869A1"/>
    <w:rsid w:val="00D90C0D"/>
    <w:rsid w:val="00D966FF"/>
    <w:rsid w:val="00DA413F"/>
    <w:rsid w:val="00DA4584"/>
    <w:rsid w:val="00DA614B"/>
    <w:rsid w:val="00DC3060"/>
    <w:rsid w:val="00DE0FB2"/>
    <w:rsid w:val="00DE2F62"/>
    <w:rsid w:val="00DE343D"/>
    <w:rsid w:val="00DF093E"/>
    <w:rsid w:val="00DF63C1"/>
    <w:rsid w:val="00E01F42"/>
    <w:rsid w:val="00E206D6"/>
    <w:rsid w:val="00E3366E"/>
    <w:rsid w:val="00E52086"/>
    <w:rsid w:val="00E543A6"/>
    <w:rsid w:val="00E60479"/>
    <w:rsid w:val="00E61D73"/>
    <w:rsid w:val="00E73684"/>
    <w:rsid w:val="00E818D6"/>
    <w:rsid w:val="00E87F7A"/>
    <w:rsid w:val="00E96BD7"/>
    <w:rsid w:val="00EA0DB1"/>
    <w:rsid w:val="00EA0EE9"/>
    <w:rsid w:val="00EA3A6F"/>
    <w:rsid w:val="00ED52CA"/>
    <w:rsid w:val="00ED5860"/>
    <w:rsid w:val="00EE35C9"/>
    <w:rsid w:val="00F05ECA"/>
    <w:rsid w:val="00F3566E"/>
    <w:rsid w:val="00F375FB"/>
    <w:rsid w:val="00F41AC1"/>
    <w:rsid w:val="00F4367A"/>
    <w:rsid w:val="00F445B1"/>
    <w:rsid w:val="00F44C37"/>
    <w:rsid w:val="00F45CD4"/>
    <w:rsid w:val="00F4623A"/>
    <w:rsid w:val="00F6093D"/>
    <w:rsid w:val="00F66DCA"/>
    <w:rsid w:val="00F74F53"/>
    <w:rsid w:val="00F7606D"/>
    <w:rsid w:val="00F81670"/>
    <w:rsid w:val="00F82024"/>
    <w:rsid w:val="00F95BC9"/>
    <w:rsid w:val="00FA624C"/>
    <w:rsid w:val="00FB1EF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5A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iPriority="11" w:unhideWhenUsed="0"/>
    <w:lsdException w:name="Salutation" w:semiHidden="0" w:unhideWhenUsed="0"/>
    <w:lsdException w:name="Date"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0F3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862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iPriority="11" w:unhideWhenUsed="0"/>
    <w:lsdException w:name="Salutation" w:semiHidden="0" w:unhideWhenUsed="0"/>
    <w:lsdException w:name="Date"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90F3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uiPriority w:val="39"/>
    <w:rsid w:val="00862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3DCA-54A8-4DE0-B9C1-F114A0E5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6E1B22EB</Template>
  <TotalTime>2</TotalTime>
  <Pages>10</Pages>
  <Words>3061</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cphythian</cp:lastModifiedBy>
  <cp:revision>3</cp:revision>
  <cp:lastPrinted>2016-09-13T09:41:00Z</cp:lastPrinted>
  <dcterms:created xsi:type="dcterms:W3CDTF">2016-09-19T10:36:00Z</dcterms:created>
  <dcterms:modified xsi:type="dcterms:W3CDTF">2016-09-19T15:51:00Z</dcterms:modified>
</cp:coreProperties>
</file>